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color w:val="2F7D5C"/>
          <w:sz w:val="20"/>
        </w:rPr>
        <w:t>WIRKUNGSÖKONOMIE</w:t>
      </w:r>
    </w:p>
    <w:p>
      <w:pPr>
        <w:pStyle w:val="Title_WOEK"/>
        <w:spacing w:after="60"/>
      </w:pPr>
      <w:r>
        <w:t>SDG-Unterziele: global, Europa und Deutschland</w:t>
      </w:r>
    </w:p>
    <w:p>
      <w:pPr>
        <w:pStyle w:val="Subtitle_WOEK"/>
        <w:spacing w:after="200"/>
      </w:pPr>
      <w:r>
        <w:t>Wie 169 globale Targets in wirkungsökonomische Bewertungs-, Daten- und Umsetzungslogik übersetzt werden</w:t>
      </w:r>
    </w:p>
    <w:tbl>
      <w:tblPr>
        <w:tblW w:type="auto" w:w="0"/>
        <w:jc w:val="center"/>
        <w:tblLayout w:type="autofit"/>
        <w:tblLook w:firstColumn="1" w:firstRow="1" w:lastColumn="0" w:lastRow="0" w:noHBand="0" w:noVBand="1" w:val="04A0"/>
      </w:tblPr>
      <w:tblGrid>
        <w:gridCol w:w="5112"/>
        <w:gridCol w:w="5112"/>
      </w:tblGrid>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Autorin</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Natalie Weber</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Referenz</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Wirkungsökonomie</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Dokumenttyp</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DETAILKONZEPT</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Unterbereich</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SDG-Unterziele / Target-Matrix</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Version</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v1.0</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Status</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öffentliche Detailausarbeitung / Arbeitsfassung</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Stand</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24. Mai 2026</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Hinweis</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Konzeptionelle Ausarbeitung; keine Rechts-, Steuer-, Anlage- oder Politikberatung.</w:t>
            </w:r>
          </w:p>
        </w:tc>
      </w:tr>
    </w:tbl>
    <w:p/>
    <w:p>
      <w:pPr>
        <w:pStyle w:val="Quote_WOEK"/>
      </w:pPr>
      <w:r>
        <w:rPr>
          <w:i/>
          <w:color w:val="2F7D5C"/>
          <w:sz w:val="24"/>
        </w:rPr>
        <w:t>„Ein SDG-Badge ist nur Dekoration, solange nicht klar ist, welches Unterziel, welcher Zustand und welche Rückkopplung gemeint sind.“</w:t>
      </w:r>
    </w:p>
    <w:p>
      <w:pPr>
        <w:pStyle w:val="Heading1"/>
      </w:pPr>
      <w:r>
        <w:t>Kurzprofil</w:t>
      </w:r>
    </w:p>
    <w:tbl>
      <w:tblPr>
        <w:tblW w:type="auto" w:w="0"/>
        <w:jc w:val="center"/>
        <w:tblLayout w:type="autofit"/>
        <w:tblLook w:firstColumn="1" w:firstRow="1" w:lastColumn="0" w:lastRow="0" w:noHBand="0" w:noVBand="1" w:val="04A0"/>
      </w:tblPr>
      <w:tblGrid>
        <w:gridCol w:w="5112"/>
        <w:gridCol w:w="5112"/>
      </w:tblGrid>
      <w:tr>
        <w:trPr>
          <w:tblHeader w:val="true"/>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Metadatum</w:t>
            </w:r>
          </w:p>
        </w:tc>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Angabe</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Zugehöriges Portal</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SDG-/SDG+-Referenzrahmen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Unterbereich</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Unterziele global, Europa und Deutschland</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Kernthese</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Die 169 SDG-Unterziele werden als Übersetzungsebene zwischen globalem Zielraum und WÖk-IDs, Scorecards, Portalen, Datenquellen und politischer Umsetzung genutzt.</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Öffentlicher Output</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Online-Volltext, Download-DOCX, Target-Matrix als CSV/JSON, interaktive Website-Matrix</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Abgrenzung</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Dieses Dokument ist kein Parteiprogramm und keine fertige Gesetzesvorlage. Es beschreibt einen Referenz- und Umsetzungsrahmen.</w:t>
            </w:r>
          </w:p>
        </w:tc>
      </w:tr>
    </w:tbl>
    <w:p/>
    <w:p>
      <w:pPr>
        <w:pStyle w:val="Heading1"/>
      </w:pPr>
      <w:r>
        <w:t>Inhaltsübersicht</w:t>
      </w:r>
    </w:p>
    <w:p>
      <w:pPr>
        <w:pStyle w:val="ListNumber"/>
      </w:pPr>
      <w:r>
        <w:t>Executive Summary</w:t>
      </w:r>
    </w:p>
    <w:p>
      <w:pPr>
        <w:pStyle w:val="ListNumber"/>
      </w:pPr>
      <w:r>
        <w:t>Warum Unterziele entscheidend sind</w:t>
      </w:r>
    </w:p>
    <w:p>
      <w:pPr>
        <w:pStyle w:val="ListNumber"/>
      </w:pPr>
      <w:r>
        <w:t>Drei Übersetzungsebenen: global, Europa, Deutschland</w:t>
      </w:r>
    </w:p>
    <w:p>
      <w:pPr>
        <w:pStyle w:val="ListNumber"/>
      </w:pPr>
      <w:r>
        <w:t>Methodik der Unterziel-Ableitung</w:t>
      </w:r>
    </w:p>
    <w:p>
      <w:pPr>
        <w:pStyle w:val="ListNumber"/>
      </w:pPr>
      <w:r>
        <w:t>Vom Target zur WÖk-ID</w:t>
      </w:r>
    </w:p>
    <w:p>
      <w:pPr>
        <w:pStyle w:val="ListNumber"/>
      </w:pPr>
      <w:r>
        <w:t>Unterzielmatrix nach SDG 1 bis 17</w:t>
      </w:r>
    </w:p>
    <w:p>
      <w:pPr>
        <w:pStyle w:val="ListNumber"/>
      </w:pPr>
      <w:r>
        <w:t>Deutschland-/Europa-Bezug systematisch bestimmen</w:t>
      </w:r>
    </w:p>
    <w:p>
      <w:pPr>
        <w:pStyle w:val="ListNumber"/>
      </w:pPr>
      <w:r>
        <w:t>Datenquellen und Indikatoren</w:t>
      </w:r>
    </w:p>
    <w:p>
      <w:pPr>
        <w:pStyle w:val="ListNumber"/>
      </w:pPr>
      <w:r>
        <w:t>Zielkonflikte, Interdependenzen und Nichtkompensation</w:t>
      </w:r>
    </w:p>
    <w:p>
      <w:pPr>
        <w:pStyle w:val="ListNumber"/>
      </w:pPr>
      <w:r>
        <w:t>Politische Anschlussfähigkeit</w:t>
      </w:r>
    </w:p>
    <w:p>
      <w:pPr>
        <w:pStyle w:val="ListNumber"/>
      </w:pPr>
      <w:r>
        <w:t>Website- und Portalintegration</w:t>
      </w:r>
    </w:p>
    <w:p>
      <w:pPr>
        <w:pStyle w:val="ListNumber"/>
      </w:pPr>
      <w:r>
        <w:t>Fazit</w:t>
      </w:r>
    </w:p>
    <w:p/>
    <w:p>
      <w:pPr>
        <w:pStyle w:val="Heading1"/>
      </w:pPr>
      <w:r>
        <w:t>1. Executive Summary</w:t>
      </w:r>
    </w:p>
    <w:p>
      <w:pPr>
        <w:spacing w:after="140" w:line="259" w:lineRule="auto"/>
      </w:pPr>
      <w:r>
        <w:t>Die 17 SDGs sind als Übersicht verständlich, aber für Wirkungsmessung zu grob. Erst die Unterziele zeigen, was konkret gemeint ist: Bildung ist nicht nur Bildung, sondern frühkindliche Entwicklung, Grundbildung, Future Skills, Gleichheit, Lernumgebung und Lehrkräfte. Energie ist nicht nur Energie, sondern Zugang, Erneuerbare, Effizienz, Infrastruktur und Technologiekooperation.</w:t>
      </w:r>
    </w:p>
    <w:p>
      <w:pPr>
        <w:spacing w:after="140" w:line="259" w:lineRule="auto"/>
      </w:pPr>
      <w:r>
        <w:t>Dieses Detailkonzept definiert die Unterziele als zentrale Übersetzungsebene der Wirkungsökonomie. Jedes Unterziel wird global verstanden, europäisch und deutsch kontextualisiert und wirkungsökonomisch in Indikatorfamilien, WÖk-IDs, Scorecards, Portale und politische Umsetzungsoptionen übertragen.</w:t>
      </w:r>
    </w:p>
    <w:p>
      <w:pPr>
        <w:spacing w:after="140" w:line="259" w:lineRule="auto"/>
      </w:pPr>
      <w:r>
        <w:t>Die Website braucht daraus eine interaktive Matrix: Nutzer:innen sollen bei jedem SDG sehen, welche Targets global bestehen, was sie in Europa und Deutschland konkret bedeuten und welche WÖk-Portale, Tools, Dossiers und Indikatoren dazugehören.</w:t>
      </w:r>
    </w:p>
    <w:p>
      <w:pPr>
        <w:pStyle w:val="Heading1"/>
      </w:pPr>
      <w:r>
        <w:t>2. Warum Unterziele entscheidend sind</w:t>
      </w:r>
    </w:p>
    <w:p>
      <w:pPr>
        <w:spacing w:after="140" w:line="259" w:lineRule="auto"/>
      </w:pPr>
      <w:r>
        <w:t>Viele SDG-Bezüge bleiben oberflächlich, weil nur die 17 Zielüberschriften genannt werden. Das ist für Kommunikation hilfreich, aber nicht für Steuerung. Wirkungsökonomisch muss jedes SDG auf seine Unterziele heruntergebrochen werden. Erst dann wird sichtbar, ob es um Zugang, Qualität, Resilienz, Gleichheit, Infrastruktur, Finanzierung, Daten oder Governance geht.</w:t>
      </w:r>
    </w:p>
    <w:p>
      <w:pPr>
        <w:spacing w:after="140" w:line="259" w:lineRule="auto"/>
      </w:pPr>
      <w:r>
        <w:t>Unterziele verhindern pauschale Zielbehauptungen. Ein Unternehmen kann nicht allgemein auf SDG 12 verweisen, wenn eigentlich nur Recycling angesprochen wird, während Chemikaliensicherheit, Lieferketten oder Produktnutzung ausgeblendet bleiben. Eine Kommune kann nicht allgemein auf SDG 11 verweisen, wenn Wohnraum, Verkehr, Grünflächen und Katastrophenresilienz getrennt betrachtet werden müssen.</w:t>
      </w:r>
    </w:p>
    <w:p>
      <w:pPr>
        <w:spacing w:after="140" w:line="259" w:lineRule="auto"/>
      </w:pPr>
      <w:r>
        <w:t>Für die Wirkungsökonomie sind Unterziele daher die Brücke zwischen normativem Zielraum und operativer Bewertung.</w:t>
      </w:r>
    </w:p>
    <w:p>
      <w:pPr>
        <w:pStyle w:val="Heading1"/>
      </w:pPr>
      <w:r>
        <w:t>3. Drei Übersetzungsebenen: global, Europa, Deutschland</w:t>
      </w:r>
    </w:p>
    <w:p>
      <w:pPr>
        <w:spacing w:after="140" w:line="259" w:lineRule="auto"/>
      </w:pPr>
      <w:r>
        <w:t>Jedes Unterziel wird in drei Ebenen gelesen. Die globale Ebene beschreibt den ursprünglichen Zielinhalt der Agenda 2030. Die europäische Ebene fragt, wie das Ziel im EU-Kontext von Binnenmarkt, Taxonomie, CSRD/ESRS, Eurostat-Monitoring und EU-Politiken relevant wird. Die deutsche Ebene fragt, welche nationalen, föderalen, kommunalen und gesellschaftlichen Umsetzungsräume betroffen sind.</w:t>
      </w:r>
    </w:p>
    <w:tbl>
      <w:tblPr>
        <w:tblW w:type="auto" w:w="0"/>
        <w:jc w:val="center"/>
        <w:tblLayout w:type="autofit"/>
        <w:tblLook w:firstColumn="1" w:firstRow="1" w:lastColumn="0" w:lastRow="0" w:noHBand="0" w:noVBand="1" w:val="04A0"/>
      </w:tblPr>
      <w:tblGrid>
        <w:gridCol w:w="3408"/>
        <w:gridCol w:w="3408"/>
        <w:gridCol w:w="3408"/>
      </w:tblGrid>
      <w:tr>
        <w:trPr>
          <w:tblHeader w:val="true"/>
          <w:cantSplit/>
        </w:trPr>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Ebene</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Leitfrage</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Beispiel</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Global</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Was will das Target weltweit absichern oder verändern?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SDG 6.4: Wasser effizient nutzen und Wasserknappheit adressieren.</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Europa</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Welche EU-Daten, Gesetze, Markt- oder Infrastrukturfragen sind betroffen?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Wasserstress, Industrie, Landwirtschaft, Klimaanpassung, EU-Monitoring.</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Deutschland</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Welche nationale oder kommunale Umsetzung ist relevant?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Dürre, Grundwasser, Hochwasserschutz, Kommunen, Landwirtschaft, Gebäudewasser.</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WÖk</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Welche Rückkopplung entsteht daraus?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Wasser-WÖk-IDs, Produktwirkung, Lieferketten, Beschaffung, Wirkungshaushalt.</w:t>
            </w:r>
          </w:p>
        </w:tc>
      </w:tr>
    </w:tbl>
    <w:p/>
    <w:p>
      <w:pPr>
        <w:pStyle w:val="Heading1"/>
      </w:pPr>
      <w:r>
        <w:t>4. Methodik der Unterziel-Ableitung</w:t>
      </w:r>
    </w:p>
    <w:p>
      <w:pPr>
        <w:pStyle w:val="ListNumber"/>
        <w:spacing w:after="60"/>
      </w:pPr>
      <w:r>
        <w:t>Target identifizieren und paraphrasieren, ohne die UN-Formulierung dekorativ zu übernehmen.</w:t>
      </w:r>
    </w:p>
    <w:p>
      <w:pPr>
        <w:pStyle w:val="ListNumber"/>
        <w:spacing w:after="60"/>
      </w:pPr>
      <w:r>
        <w:t>Schutzgut bestimmen: Mensch, Planet, Demokratie oder mehrere Dimensionen.</w:t>
      </w:r>
    </w:p>
    <w:p>
      <w:pPr>
        <w:pStyle w:val="ListNumber"/>
        <w:spacing w:after="60"/>
      </w:pPr>
      <w:r>
        <w:t>Akteure bestimmen: Staat, EU, Unternehmen, Kommune, Finanzmarkt, Bürger:innen, Wissenschaft.</w:t>
      </w:r>
    </w:p>
    <w:p>
      <w:pPr>
        <w:pStyle w:val="ListNumber"/>
        <w:spacing w:after="60"/>
      </w:pPr>
      <w:r>
        <w:t>Datenquellen bestimmen: UN-Indikatoren, Eurostat, Destatis, CSRD/ESRS, Fachstatistiken, Portaldaten.</w:t>
      </w:r>
    </w:p>
    <w:p>
      <w:pPr>
        <w:pStyle w:val="ListNumber"/>
        <w:spacing w:after="60"/>
      </w:pPr>
      <w:r>
        <w:t>WÖk-ID-Familie bestimmen: sozial, ökologisch, Governance, Produkt, Lieferkette, Real Estate, System.</w:t>
      </w:r>
    </w:p>
    <w:p>
      <w:pPr>
        <w:pStyle w:val="ListNumber"/>
        <w:spacing w:after="60"/>
      </w:pPr>
      <w:r>
        <w:t>Rückkopplung bestimmen: Preis, Steuer, Kapitalzugang, Förderung, Beschaffung, Haushalt, Tool.</w:t>
      </w:r>
    </w:p>
    <w:p>
      <w:pPr>
        <w:pStyle w:val="ListNumber"/>
        <w:spacing w:after="60"/>
      </w:pPr>
      <w:r>
        <w:t>Zielkonflikte und rote Linien bestimmen: Was darf nicht kompensiert werden?</w:t>
      </w:r>
    </w:p>
    <w:p>
      <w:pPr>
        <w:pStyle w:val="Heading1"/>
      </w:pPr>
      <w:r>
        <w:t>5. Vom Target zur WÖk-ID</w:t>
      </w:r>
    </w:p>
    <w:p>
      <w:pPr>
        <w:spacing w:after="140" w:line="259" w:lineRule="auto"/>
      </w:pPr>
      <w:r>
        <w:t>Eine WÖk-ID ist kein Ersatz für ein SDG-Unterziel. Sie ist die operative Mess- und Zuordnungseinheit. Ein Unterziel kann viele WÖk-IDs enthalten. Eine WÖk-ID kann mehreren SDGs zugeordnet sein, wenn die Wirkung interdependent ist. Wichtig ist, dass die Zuordnung nicht willkürlich erfolgt, sondern über Zielbezug, Sektor, Datenquelle, Messlogik und Bewertungsgrenzen dokumentiert wird.</w:t>
      </w:r>
    </w:p>
    <w:tbl>
      <w:tblPr>
        <w:tblW w:type="auto" w:w="0"/>
        <w:jc w:val="center"/>
        <w:tblLayout w:type="autofit"/>
        <w:tblLook w:firstColumn="1" w:firstRow="1" w:lastColumn="0" w:lastRow="0" w:noHBand="0" w:noVBand="1" w:val="04A0"/>
      </w:tblPr>
      <w:tblGrid>
        <w:gridCol w:w="3408"/>
        <w:gridCol w:w="3408"/>
        <w:gridCol w:w="3408"/>
      </w:tblGrid>
      <w:tr>
        <w:trPr>
          <w:tblHeader w:val="true"/>
          <w:cantSplit/>
        </w:trPr>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Schritt</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Funktion</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Beispiel</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Target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Normativer Zielbezug.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SDG 12.5 Abfallvermeidung und Recycling.</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Indikatorfamilie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Messbarer Zustand.</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Abfallquote, Wiederverwendung, Reparierbarkeit, Rezyklatanteil.</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WÖk-ID</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Operativer Code.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WOK-P-122 Produkt-PCF/Reparierbarkeit/Rücknahme.</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Scorecard</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Bewertung.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-3 bis +3, Benchmark, Datenqualität.</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Rückkopplung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Lenkung.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WUStG, Beschaffung, Produktpass, Kapitalzugang.</w:t>
            </w:r>
          </w:p>
        </w:tc>
      </w:tr>
    </w:tbl>
    <w:p/>
    <w:p>
      <w:pPr>
        <w:pStyle w:val="Heading1"/>
      </w:pPr>
      <w:r>
        <w:t>6. Unterzielmatrix nach SDG 1 bis 17</w:t>
      </w:r>
    </w:p>
    <w:p>
      <w:pPr>
        <w:spacing w:after="140" w:line="259" w:lineRule="auto"/>
      </w:pPr>
      <w:r>
        <w:t>Die folgende Matrix ist eine Arbeitsfassung. Die offiziellen Target-Formulierungen werden paraphrasiert, damit sie in der Website verständlich und rechtlich sauber eingebettet werden können. Die vollständige maschinenlesbare Matrix liegt zusätzlich als CSV und JSON im Datenordner des Pakets.</w:t>
      </w:r>
    </w:p>
    <w:p>
      <w:pPr>
        <w:pStyle w:val="Heading2"/>
      </w:pPr>
      <w:r>
        <w:t>SDG 1: Keine Armut</w:t>
      </w:r>
    </w:p>
    <w:p>
      <w:pPr>
        <w:spacing w:after="140" w:line="259" w:lineRule="auto"/>
      </w:pPr>
      <w:r>
        <w:t>Für Keine Armut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Extreme Armut beenden.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Armut nach nationalen Definitionen deutlich reduzieren.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Sozialschutzsysteme und Grundsicherung ausbauen.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Zugang zu Grunddiensten, Eigentum, Ressourcen und Finanzen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Resilienz armer und vulnerabler Gruppen gegenüber Krisen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Ressourcen zur Armutsbekämpfung mobilisieren.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Politische Rahmen für armutsorientierte Entwicklung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bl>
    <w:p/>
    <w:p>
      <w:pPr>
        <w:pStyle w:val="Heading2"/>
      </w:pPr>
      <w:r>
        <w:t>SDG 2: Kein Hunger</w:t>
      </w:r>
    </w:p>
    <w:p>
      <w:pPr>
        <w:spacing w:after="140" w:line="259" w:lineRule="auto"/>
      </w:pPr>
      <w:r>
        <w:t>Für Kein Hunger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2.1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Hunger beenden und sichere Ernährung gewährleisten.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Ernährungssicherheit, nachhaltige Landwirtschaft, Bodenschutz, Tierhaltung, Lieferketten, Lebensmittelverschwendung und gesunde Ernährung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2.2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Fehlernährung in allen Formen überwinden.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Ernährungssicherheit, nachhaltige Landwirtschaft, Bodenschutz, Tierhaltung, Lieferketten, Lebensmittelverschwendung und gesunde Ernährung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2.3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Produktivität und Einkommen kleiner Erzeuger:innen erhöhen.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Ernährungssicherheit, nachhaltige Landwirtschaft, Bodenschutz, Tierhaltung, Lieferketten, Lebensmittelverschwendung und gesunde Ernährung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2.4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Nachhaltige, resiliente Ernährungssysteme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Ernährungssicherheit, nachhaltige Landwirtschaft, Bodenschutz, Tierhaltung, Lieferketten, Lebensmittelverschwendung und gesunde Ernährung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2.5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Genetische Vielfalt von Saatgut, Nutzpflanzen und Tieren erhalten.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Ernährungssicherheit, nachhaltige Landwirtschaft, Bodenschutz, Tierhaltung, Lieferketten, Lebensmittelverschwendung und gesunde Ernährung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2.a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Investitionen in Landwirtschaft und ländliche Entwicklung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Ernährungssicherheit, nachhaltige Landwirtschaft, Bodenschutz, Tierhaltung, Lieferketten, Lebensmittelverschwendung und gesunde Ernährung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2.b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Handelsverzerrungen in Agrarmärkten reduzieren.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Ernährungssicherheit, nachhaltige Landwirtschaft, Bodenschutz, Tierhaltung, Lieferketten, Lebensmittelverschwendung und gesunde Ernährung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2.c</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Nahrungsmittelmärkte stabilisieren und Preisschwankungen begrenzen.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Ernährungssicherheit, nachhaltige Landwirtschaft, Bodenschutz, Tierhaltung, Lieferketten, Lebensmittelverschwendung und gesunde Ernährung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bl>
    <w:p/>
    <w:p>
      <w:pPr>
        <w:pStyle w:val="Heading2"/>
      </w:pPr>
      <w:r>
        <w:t>SDG 3: Gesundheit und Wohlergehen</w:t>
      </w:r>
    </w:p>
    <w:p>
      <w:pPr>
        <w:spacing w:after="140" w:line="259" w:lineRule="auto"/>
      </w:pPr>
      <w:r>
        <w:t>Für Gesundheit und Wohlergehen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3.1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Müttersterblichkeit senken.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Prävention, Gesundheitsgerechtigkeit, Pflege, psychische Gesundheit, Umweltgesundheit, Versorgungssicherheit und Public Health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3.2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Vermeidbare Todesfälle von Neugeborenen und Kindern beenden.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Prävention, Gesundheitsgerechtigkeit, Pflege, psychische Gesundheit, Umweltgesundheit, Versorgungssicherheit und Public Health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3.3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Übertragbare Krankheiten bekämpfen.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Prävention, Gesundheitsgerechtigkeit, Pflege, psychische Gesundheit, Umweltgesundheit, Versorgungssicherheit und Public Health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3.4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Nichtübertragbare Krankheiten und psychische Gesundheit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Prävention, Gesundheitsgerechtigkeit, Pflege, psychische Gesundheit, Umweltgesundheit, Versorgungssicherheit und Public Health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3.5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Suchtprävention und Behandlung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Prävention, Gesundheitsgerechtigkeit, Pflege, psychische Gesundheit, Umweltgesundheit, Versorgungssicherheit und Public Health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3.6</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Verkehrstote und -verletzte reduzieren.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Prävention, Gesundheitsgerechtigkeit, Pflege, psychische Gesundheit, Umweltgesundheit, Versorgungssicherheit und Public Health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3.7</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Sexuelle und reproduktive Gesundheit sowie Familienplanung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Prävention, Gesundheitsgerechtigkeit, Pflege, psychische Gesundheit, Umweltgesundheit, Versorgungssicherheit und Public Health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3.8</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Universelle Gesundheitsversorgung und bezahlbare Medikamente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Prävention, Gesundheitsgerechtigkeit, Pflege, psychische Gesundheit, Umweltgesundheit, Versorgungssicherheit und Public Health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3.9</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Umweltbedingte Gesundheitsrisiken durch Luft, Wasser, Chemikalien senken.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Prävention, Gesundheitsgerechtigkeit, Pflege, psychische Gesundheit, Umweltgesundheit, Versorgungssicherheit und Public Health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3.a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Tabakkontrolle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Prävention, Gesundheitsgerechtigkeit, Pflege, psychische Gesundheit, Umweltgesundheit, Versorgungssicherheit und Public Health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3.b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Forschung, Impfstoffe und Medikamente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Prävention, Gesundheitsgerechtigkeit, Pflege, psychische Gesundheit, Umweltgesundheit, Versorgungssicherheit und Public Health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3.c</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Gesundheitspersonal und Gesundheitsfinanzierung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Prävention, Gesundheitsgerechtigkeit, Pflege, psychische Gesundheit, Umweltgesundheit, Versorgungssicherheit und Public Health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3.d</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Frühwarn-, Risiko- und Krisenfähigkeiten im Gesundheitswesen ausbauen.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Prävention, Gesundheitsgerechtigkeit, Pflege, psychische Gesundheit, Umweltgesundheit, Versorgungssicherheit und Public Health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bl>
    <w:p/>
    <w:p>
      <w:pPr>
        <w:pStyle w:val="Heading2"/>
      </w:pPr>
      <w:r>
        <w:t>SDG 4: Hochwertige Bildung</w:t>
      </w:r>
    </w:p>
    <w:p>
      <w:pPr>
        <w:spacing w:after="140" w:line="259" w:lineRule="auto"/>
      </w:pPr>
      <w:r>
        <w:t>Für Hochwertige Bildung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4.1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Kostenfreie, inklusive und hochwertige Grund- und Sekundarbildung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Bildungsgerechtigkeit, frühe Förderung, Future Skills, digitale Mündigkeit, Lehrkräfte, BNE und Wirkungskompetenz in Schulen und Weiterbildung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4.2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Frühkindliche Entwicklung und Vorschulbildung verbessern.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Bildungsgerechtigkeit, frühe Förderung, Future Skills, digitale Mündigkeit, Lehrkräfte, BNE und Wirkungskompetenz in Schulen und Weiterbildung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4.3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Berufliche und tertiäre Bildung zugänglich machen.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Bildungsgerechtigkeit, frühe Förderung, Future Skills, digitale Mündigkeit, Lehrkräfte, BNE und Wirkungskompetenz in Schulen und Weiterbildung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4.4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Future Skills und beschäftigungsrelevante Kompetenzen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Bildungsgerechtigkeit, frühe Förderung, Future Skills, digitale Mündigkeit, Lehrkräfte, BNE und Wirkungskompetenz in Schulen und Weiterbildung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4.5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Bildungsungleichheiten abbauen.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Bildungsgerechtigkeit, frühe Förderung, Future Skills, digitale Mündigkeit, Lehrkräfte, BNE und Wirkungskompetenz in Schulen und Weiterbildung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4.6</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Grundbildung, Lesen, Schreiben und Rechnen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Bildungsgerechtigkeit, frühe Förderung, Future Skills, digitale Mündigkeit, Lehrkräfte, BNE und Wirkungskompetenz in Schulen und Weiterbildung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4.7</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Bildung für nachhaltige Entwicklung, Menschenrechte und globale Bürgerschaft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Bildungsgerechtigkeit, frühe Förderung, Future Skills, digitale Mündigkeit, Lehrkräfte, BNE und Wirkungskompetenz in Schulen und Weiterbildung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4.a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Sichere, inklusive und wirksame Lernumgebungen schaffen.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Bildungsgerechtigkeit, frühe Förderung, Future Skills, digitale Mündigkeit, Lehrkräfte, BNE und Wirkungskompetenz in Schulen und Weiterbildung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4.b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Bildungsstipendien und internationale Bildungschancen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Bildungsgerechtigkeit, frühe Förderung, Future Skills, digitale Mündigkeit, Lehrkräfte, BNE und Wirkungskompetenz in Schulen und Weiterbildung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4.c</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Lehrkräfte gewinnen, qualifizieren und unterstützen.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Bildungsgerechtigkeit, frühe Förderung, Future Skills, digitale Mündigkeit, Lehrkräfte, BNE und Wirkungskompetenz in Schulen und Weiterbildung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bl>
    <w:p/>
    <w:p>
      <w:pPr>
        <w:pStyle w:val="Heading2"/>
      </w:pPr>
      <w:r>
        <w:t>SDG 5: Geschlechtergleichstellung</w:t>
      </w:r>
    </w:p>
    <w:p>
      <w:pPr>
        <w:spacing w:after="140" w:line="259" w:lineRule="auto"/>
      </w:pPr>
      <w:r>
        <w:t>Für Geschlechtergleichstellung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5.1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Diskriminierung von Frauen und Mädchen beenden.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Gleichstellung, Care, Lohnlücke, Gewaltprävention, Führungszugang, Vereinbarkeit und strukturelle Diskriminierung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5.2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Gewalt gegen Frauen und Mädchen beenden.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Gleichstellung, Care, Lohnlücke, Gewaltprävention, Führungszugang, Vereinbarkeit und strukturelle Diskriminierung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5.3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Schädliche Praktiken wie Kinderheirat und Genitalverstümmelung beenden.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Gleichstellung, Care, Lohnlücke, Gewaltprävention, Führungszugang, Vereinbarkeit und strukturelle Diskriminierung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5.4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Unbezahlte Sorge- und Hausarbeit anerkennen und umverteilen.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Gleichstellung, Care, Lohnlücke, Gewaltprävention, Führungszugang, Vereinbarkeit und strukturelle Diskriminierung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5.5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Volle Teilhabe und Führungschancen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Gleichstellung, Care, Lohnlücke, Gewaltprävention, Führungszugang, Vereinbarkeit und strukturelle Diskriminierung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5.6</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Sexuelle und reproduktive Rechte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Gleichstellung, Care, Lohnlücke, Gewaltprävention, Führungszugang, Vereinbarkeit und strukturelle Diskriminierung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5.a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Gleiche Rechte an Ressourcen, Eigentum und Finanzen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Gleichstellung, Care, Lohnlücke, Gewaltprävention, Führungszugang, Vereinbarkeit und strukturelle Diskriminierung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5.b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Technologie zur Stärkung von Frauen nutzen.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Gleichstellung, Care, Lohnlücke, Gewaltprävention, Führungszugang, Vereinbarkeit und strukturelle Diskriminierung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5.c</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Politiken und Gesetze zur Gleichstellung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Gleichstellung, Care, Lohnlücke, Gewaltprävention, Führungszugang, Vereinbarkeit und strukturelle Diskriminierung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bl>
    <w:p/>
    <w:p>
      <w:pPr>
        <w:pStyle w:val="Heading2"/>
      </w:pPr>
      <w:r>
        <w:t>SDG 6: Sauberes Wasser und Sanitäreinrichtungen</w:t>
      </w:r>
    </w:p>
    <w:p>
      <w:pPr>
        <w:spacing w:after="140" w:line="259" w:lineRule="auto"/>
      </w:pPr>
      <w:r>
        <w:t>Für Sauberes Wasser und Sanitäreinrichtungen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6.1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Zugang zu sicherem Trinkwasser für alle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Wasserqualität, Dürre, Grundwasser, Hochwasser, Abwasser, Wassereffizienz und Wasserrisiken in Kommunen und Lieferketten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6.2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Sanitärversorgung und Hygiene für alle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Wasserqualität, Dürre, Grundwasser, Hochwasser, Abwasser, Wassereffizienz und Wasserrisiken in Kommunen und Lieferketten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6.3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Wasserqualität verbessern und Verschmutzung reduzieren.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Wasserqualität, Dürre, Grundwasser, Hochwasser, Abwasser, Wassereffizienz und Wasserrisiken in Kommunen und Lieferketten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6.4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Wassereffizienz steigern und Wasserknappheit reduzieren.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Wasserqualität, Dürre, Grundwasser, Hochwasser, Abwasser, Wassereffizienz und Wasserrisiken in Kommunen und Lieferketten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6.5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Integriertes Wasserressourcenmanagement umsetzen.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Wasserqualität, Dürre, Grundwasser, Hochwasser, Abwasser, Wassereffizienz und Wasserrisiken in Kommunen und Lieferketten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6.6</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Wasserbezogene Ökosysteme schützen und wiederherstellen.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Wasserqualität, Dürre, Grundwasser, Hochwasser, Abwasser, Wassereffizienz und Wasserrisiken in Kommunen und Lieferketten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6.a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Internationale Kooperation und Kapazitäten für Wasser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Wasserqualität, Dürre, Grundwasser, Hochwasser, Abwasser, Wassereffizienz und Wasserrisiken in Kommunen und Lieferketten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6.b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Lokale Beteiligung im Wassermanagement unterstützen.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Wasserqualität, Dürre, Grundwasser, Hochwasser, Abwasser, Wassereffizienz und Wasserrisiken in Kommunen und Lieferketten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bl>
    <w:p/>
    <w:p>
      <w:pPr>
        <w:pStyle w:val="Heading2"/>
      </w:pPr>
      <w:r>
        <w:t>SDG 7: Bezahlbare und saubere Energie</w:t>
      </w:r>
    </w:p>
    <w:p>
      <w:pPr>
        <w:spacing w:after="140" w:line="259" w:lineRule="auto"/>
      </w:pPr>
      <w:r>
        <w:t>Für Bezahlbare und saubere Energie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7.1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Zugang zu bezahlbarer und moderner Energie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Energiearmut, Erneuerbare, Netze, Speicher, Effizienz, Versorgungssicherheit und gerechte Transformation verbinden.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7.2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Anteil erneuerbarer Energien erhöhen.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Energiearmut, Erneuerbare, Netze, Speicher, Effizienz, Versorgungssicherheit und gerechte Transformation verbinden.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7.3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Energieeffizienz verbessern.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Energiearmut, Erneuerbare, Netze, Speicher, Effizienz, Versorgungssicherheit und gerechte Transformation verbinden.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7.a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Internationale Kooperation zu sauberer Energie und Forschung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Energiearmut, Erneuerbare, Netze, Speicher, Effizienz, Versorgungssicherheit und gerechte Transformation verbinden.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7.b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Energieinfrastruktur und saubere Technologien ausbauen.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Energiearmut, Erneuerbare, Netze, Speicher, Effizienz, Versorgungssicherheit und gerechte Transformation verbinden.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bl>
    <w:p/>
    <w:p>
      <w:pPr>
        <w:pStyle w:val="Heading2"/>
      </w:pPr>
      <w:r>
        <w:t>SDG 8: Menschenwürdige Arbeit und Wirtschaftswachstum</w:t>
      </w:r>
    </w:p>
    <w:p>
      <w:pPr>
        <w:spacing w:after="140" w:line="259" w:lineRule="auto"/>
      </w:pPr>
      <w:r>
        <w:t>Für Menschenwürdige Arbeit und Wirtschaftswachstum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8.1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Nachhaltiges Wirtschaftswachstum gemäß nationalem Kontext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menschenwürdige Arbeit, Automatisierung, Weiterbildung, faire Löhne, Lieferketten, Arbeitsrechte und Wirkung statt bloßer Beschäftigung bewerten.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8.2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Produktivität durch Diversifizierung, Innovation und Aufwertung steigern.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menschenwürdige Arbeit, Automatisierung, Weiterbildung, faire Löhne, Lieferketten, Arbeitsrechte und Wirkung statt bloßer Beschäftigung bewerten.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8.3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Entwicklungsorientierte Politik, Unternehmertum und formelle Arbeit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menschenwürdige Arbeit, Automatisierung, Weiterbildung, faire Löhne, Lieferketten, Arbeitsrechte und Wirkung statt bloßer Beschäftigung bewerten.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8.4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Ressourceneffizienz verbessern und Wachstum von Umweltzerstörung entkoppeln.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menschenwürdige Arbeit, Automatisierung, Weiterbildung, faire Löhne, Lieferketten, Arbeitsrechte und Wirkung statt bloßer Beschäftigung bewerten.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8.5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Vollbeschäftigung, menschenwürdige Arbeit und gleiche Bezahlung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menschenwürdige Arbeit, Automatisierung, Weiterbildung, faire Löhne, Lieferketten, Arbeitsrechte und Wirkung statt bloßer Beschäftigung bewerten.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8.6</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Jugendarbeitslosigkeit und Bildungs-/Beschäftigungslosigkeit verringern.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menschenwürdige Arbeit, Automatisierung, Weiterbildung, faire Löhne, Lieferketten, Arbeitsrechte und Wirkung statt bloßer Beschäftigung bewerten.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8.7</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Zwangsarbeit, moderne Sklaverei und Kinderarbeit beenden.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menschenwürdige Arbeit, Automatisierung, Weiterbildung, faire Löhne, Lieferketten, Arbeitsrechte und Wirkung statt bloßer Beschäftigung bewerten.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8.8</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Arbeitsrechte und sichere Arbeitsumgebungen schützen.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menschenwürdige Arbeit, Automatisierung, Weiterbildung, faire Löhne, Lieferketten, Arbeitsrechte und Wirkung statt bloßer Beschäftigung bewerten.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8.9</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Nachhaltigen Tourismus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menschenwürdige Arbeit, Automatisierung, Weiterbildung, faire Löhne, Lieferketten, Arbeitsrechte und Wirkung statt bloßer Beschäftigung bewerten.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8.10</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Finanzinstitutionen und Zugang zu Finanzdienstleistungen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menschenwürdige Arbeit, Automatisierung, Weiterbildung, faire Löhne, Lieferketten, Arbeitsrechte und Wirkung statt bloßer Beschäftigung bewerten.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8.a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Handelsunterstützung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menschenwürdige Arbeit, Automatisierung, Weiterbildung, faire Löhne, Lieferketten, Arbeitsrechte und Wirkung statt bloßer Beschäftigung bewerten.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8.b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Jugendbeschäftigungsstrategien umsetzen.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menschenwürdige Arbeit, Automatisierung, Weiterbildung, faire Löhne, Lieferketten, Arbeitsrechte und Wirkung statt bloßer Beschäftigung bewerten.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bl>
    <w:p/>
    <w:p>
      <w:pPr>
        <w:pStyle w:val="Heading2"/>
      </w:pPr>
      <w:r>
        <w:t>SDG 9: Industrie, Innovation und Infrastruktur</w:t>
      </w:r>
    </w:p>
    <w:p>
      <w:pPr>
        <w:spacing w:after="140" w:line="259" w:lineRule="auto"/>
      </w:pPr>
      <w:r>
        <w:t>Für Industrie, Innovation und Infrastruktur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9.1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Nachhaltige, resiliente und inklusive Infrastruktur entwickeln.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Infrastruktur, Industrieumbau, Forschung, Digitalisierung, Datenräume, harte Sektoren und Innovationswirkung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9.2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Inklusive und nachhaltige Industrialisierung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Infrastruktur, Industrieumbau, Forschung, Digitalisierung, Datenräume, harte Sektoren und Innovationswirkung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9.3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Kleinen Unternehmen Zugang zu Finanzdienstleistungen und Märkten ermöglichen.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Infrastruktur, Industrieumbau, Forschung, Digitalisierung, Datenräume, harte Sektoren und Innovationswirkung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9.4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Industrie und Infrastruktur ressourceneffizient und sauber modernisieren.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Infrastruktur, Industrieumbau, Forschung, Digitalisierung, Datenräume, harte Sektoren und Innovationswirkung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9.5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Forschung, Technologie und Innovation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Infrastruktur, Industrieumbau, Forschung, Digitalisierung, Datenräume, harte Sektoren und Innovationswirkung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9.a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Infrastrukturentwicklung unterstützen.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Infrastruktur, Industrieumbau, Forschung, Digitalisierung, Datenräume, harte Sektoren und Innovationswirkung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9.b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Technologische Entwicklung und Innovation in Entwicklungsländern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Infrastruktur, Industrieumbau, Forschung, Digitalisierung, Datenräume, harte Sektoren und Innovationswirkung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9.c</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Zugang zu Informations- und Kommunikationstechnologien ausweiten.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Infrastruktur, Industrieumbau, Forschung, Digitalisierung, Datenräume, harte Sektoren und Innovationswirkung steuern.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bl>
    <w:p/>
    <w:p>
      <w:pPr>
        <w:pStyle w:val="Heading2"/>
      </w:pPr>
      <w:r>
        <w:t>SDG 10: Weniger Ungleichheiten</w:t>
      </w:r>
    </w:p>
    <w:p>
      <w:pPr>
        <w:spacing w:after="140" w:line="259" w:lineRule="auto"/>
      </w:pPr>
      <w:r>
        <w:t>Für Weniger Ungleichheiten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10.1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Einkommenswachstum der unteren Einkommensgruppen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10.2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Soziale, wirtschaftliche und politische Inklusion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10.3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Chancengleichheit sichern und Diskriminierung abbauen.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10.4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Fiskal-, Lohn- und Sozialpolitik für mehr Gleichheit nutzen.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10.5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Finanzmärkte und Institutionen regulieren und überwachen.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10.6</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Bessere Mitsprache von Entwicklungsländern in globalen Institutionen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10.7</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Geordnete, sichere und verantwortliche Migration ermöglichen.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10.a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Sonder- und Präferenzregelungen für Entwicklungsländer erhalten.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10.b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Entwicklungshilfe und Finanzströme nach Bedarf ausrichten.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10.c</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Kosten von Rücküberweisungen senken.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relative Armut, Kinderarmut, Altersarmut, Wohnkosten, regionale Ungleichheit, Teilhabe und Sozialschutz präzisieren.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bl>
    <w:p/>
    <w:p>
      <w:pPr>
        <w:pStyle w:val="Heading2"/>
      </w:pPr>
      <w:r>
        <w:t>SDG 11: Nachhaltige Städte und Gemeinden</w:t>
      </w:r>
    </w:p>
    <w:p>
      <w:pPr>
        <w:spacing w:after="140" w:line="259" w:lineRule="auto"/>
      </w:pPr>
      <w:r>
        <w:t>Für Nachhaltige Städte und Gemeinden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11.1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Zugang zu angemessenem, sicherem und bezahlbarem Wohnraum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Wohnen, Stadtentwicklung, Mobilität, Quartiere, Hitzeschutz, Kultur, Grünflächen und kommunale Resilienz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11.2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Sichere, bezahlbare und nachhaltige Verkehrssysteme ausbauen.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Wohnen, Stadtentwicklung, Mobilität, Quartiere, Hitzeschutz, Kultur, Grünflächen und kommunale Resilienz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11.3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Inklusive und nachhaltige Stadtplanung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Wohnen, Stadtentwicklung, Mobilität, Quartiere, Hitzeschutz, Kultur, Grünflächen und kommunale Resilienz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11.4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Kultur- und Naturerbe schützen.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Wohnen, Stadtentwicklung, Mobilität, Quartiere, Hitzeschutz, Kultur, Grünflächen und kommunale Resilienz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11.5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Katastrophenrisiken und Schäden reduzieren.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Wohnen, Stadtentwicklung, Mobilität, Quartiere, Hitzeschutz, Kultur, Grünflächen und kommunale Resilienz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11.6</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Umweltbelastung von Städten senken.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Wohnen, Stadtentwicklung, Mobilität, Quartiere, Hitzeschutz, Kultur, Grünflächen und kommunale Resilienz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11.7</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Zugang zu sicheren, inklusiven Grün- und öffentlichen Räumen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Wohnen, Stadtentwicklung, Mobilität, Quartiere, Hitzeschutz, Kultur, Grünflächen und kommunale Resilienz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11.a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Stadt-Land-Verbindungen und Regionalplanung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Wohnen, Stadtentwicklung, Mobilität, Quartiere, Hitzeschutz, Kultur, Grünflächen und kommunale Resilienz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11.b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Resilienz- und Klimaanpassungsstrategien für Städte umsetzen.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Wohnen, Stadtentwicklung, Mobilität, Quartiere, Hitzeschutz, Kultur, Grünflächen und kommunale Resilienz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11.c</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Nachhaltiges Bauen und lokale Materialien unterstützen.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Wohnen, Stadtentwicklung, Mobilität, Quartiere, Hitzeschutz, Kultur, Grünflächen und kommunale Resilienz operationalisieren.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als soziale, gesundheitliche, Bildungs-, Arbeits-, Wohn- und Teilhabewirkung operationalisiert; Rückkopplung über Wirkungshaushalt, Förderung, Fonds und Scorecards.</w:t>
            </w:r>
          </w:p>
        </w:tc>
      </w:tr>
    </w:tbl>
    <w:p/>
    <w:p>
      <w:pPr>
        <w:pStyle w:val="Heading2"/>
      </w:pPr>
      <w:r>
        <w:t>SDG 12: Nachhaltige/r Konsum und Produktion</w:t>
      </w:r>
    </w:p>
    <w:p>
      <w:pPr>
        <w:spacing w:after="140" w:line="259" w:lineRule="auto"/>
      </w:pPr>
      <w:r>
        <w:t>Für Nachhaltige/r Konsum und Produktion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12.1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Programme für nachhaltigen Konsum und Produktion umsetzen.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Produktwirkung, Kreislaufwirtschaft, Beschaffung, Lieferketten, Verpackung, Reparaturfähigkeit und echte Preise rückkoppeln.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12.2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Natürliche Ressourcen effizient und nachhaltig nutzen.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Produktwirkung, Kreislaufwirtschaft, Beschaffung, Lieferketten, Verpackung, Reparaturfähigkeit und echte Preise rückkoppeln.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12.3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Lebensmittelverluste und -verschwendung reduzieren.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Produktwirkung, Kreislaufwirtschaft, Beschaffung, Lieferketten, Verpackung, Reparaturfähigkeit und echte Preise rückkoppeln.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12.4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Chemikalien und Abfälle sicher managen.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Produktwirkung, Kreislaufwirtschaft, Beschaffung, Lieferketten, Verpackung, Reparaturfähigkeit und echte Preise rückkoppeln.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12.5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Abfallvermeidung, Wiederverwendung und Recycling steigern.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Produktwirkung, Kreislaufwirtschaft, Beschaffung, Lieferketten, Verpackung, Reparaturfähigkeit und echte Preise rückkoppeln.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12.6</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Unternehmen zu Nachhaltigkeitspraktiken und Berichten bewegen.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Produktwirkung, Kreislaufwirtschaft, Beschaffung, Lieferketten, Verpackung, Reparaturfähigkeit und echte Preise rückkoppeln.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12.7</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Nachhaltige öffentliche Beschaffung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Produktwirkung, Kreislaufwirtschaft, Beschaffung, Lieferketten, Verpackung, Reparaturfähigkeit und echte Preise rückkoppeln.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12.8</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Information und Bewusstsein für nachhaltige Lebensweisen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Produktwirkung, Kreislaufwirtschaft, Beschaffung, Lieferketten, Verpackung, Reparaturfähigkeit und echte Preise rückkoppeln.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12.a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Wissenschaftliche und technologische Kapazitäten für nachhaltige Produktion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Produktwirkung, Kreislaufwirtschaft, Beschaffung, Lieferketten, Verpackung, Reparaturfähigkeit und echte Preise rückkoppeln.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12.b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Nachhaltigen Tourismus messen und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Produktwirkung, Kreislaufwirtschaft, Beschaffung, Lieferketten, Verpackung, Reparaturfähigkeit und echte Preise rückkoppeln.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12.c</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Ineffiziente fossile Subventionen rationalisieren und Fehlanreize abbauen.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Produktwirkung, Kreislaufwirtschaft, Beschaffung, Lieferketten, Verpackung, Reparaturfähigkeit und echte Preise rückkoppeln.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bl>
    <w:p/>
    <w:p>
      <w:pPr>
        <w:pStyle w:val="Heading2"/>
      </w:pPr>
      <w:r>
        <w:t>SDG 13: Maßnahmen zum Klimaschutz</w:t>
      </w:r>
    </w:p>
    <w:p>
      <w:pPr>
        <w:spacing w:after="140" w:line="259" w:lineRule="auto"/>
      </w:pPr>
      <w:r>
        <w:t>Für Maßnahmen zum Klimaschutz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13.1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Resilienz gegenüber klimabezogenen Gefahren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Klimaschutz, Anpassung, Resilienz, Klimarisiken, Wärmeplanung, Infrastruktur und Finanzierung verbinden.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13.2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Klimamaßnahmen in Politik und Planung integrieren.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Klimaschutz, Anpassung, Resilienz, Klimarisiken, Wärmeplanung, Infrastruktur und Finanzierung verbinden.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13.3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Bildung, Bewusstsein und Kapazitäten für Klimaschutz und Anpassung verbessern.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Klimaschutz, Anpassung, Resilienz, Klimarisiken, Wärmeplanung, Infrastruktur und Finanzierung verbinden.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13.a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Klimafinanzierung mobilisieren.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Klimaschutz, Anpassung, Resilienz, Klimarisiken, Wärmeplanung, Infrastruktur und Finanzierung verbinden.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13.b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Planungs- und Managementkapazitäten in vulnerablen Ländern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Klimaschutz, Anpassung, Resilienz, Klimarisiken, Wärmeplanung, Infrastruktur und Finanzierung verbinden.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bl>
    <w:p/>
    <w:p>
      <w:pPr>
        <w:pStyle w:val="Heading2"/>
      </w:pPr>
      <w:r>
        <w:t>SDG 14: Leben unter Wasser</w:t>
      </w:r>
    </w:p>
    <w:p>
      <w:pPr>
        <w:spacing w:after="140" w:line="259" w:lineRule="auto"/>
      </w:pPr>
      <w:r>
        <w:t>Für Leben unter Wasser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14.1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Meeresverschmutzung reduzieren.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Meeres- und Küstenschutz, Fischerei, Plastik, Nährstoffeinträge, Schifffahrt und Lieferketten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14.2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Meeres- und Küstenökosysteme nachhaltig managen und schützen.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Meeres- und Küstenschutz, Fischerei, Plastik, Nährstoffeinträge, Schifffahrt und Lieferketten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14.3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Ozeanversauerung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Meeres- und Küstenschutz, Fischerei, Plastik, Nährstoffeinträge, Schifffahrt und Lieferketten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14.4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Fischerei regulieren und Überfischung beenden.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Meeres- und Küstenschutz, Fischerei, Plastik, Nährstoffeinträge, Schifffahrt und Lieferketten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14.5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Küsten- und Meeresgebiete schützen.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Meeres- und Küstenschutz, Fischerei, Plastik, Nährstoffeinträge, Schifffahrt und Lieferketten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14.6</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Schädliche Fischereisubventionen abbauen.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Meeres- und Küstenschutz, Fischerei, Plastik, Nährstoffeinträge, Schifffahrt und Lieferketten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14.7</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Nachhaltige Nutzung mariner Ressourcen für kleine Insel- und Küstenstaaten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Meeres- und Küstenschutz, Fischerei, Plastik, Nährstoffeinträge, Schifffahrt und Lieferketten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14.a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Meeresforschung und Technologietransfer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Meeres- und Küstenschutz, Fischerei, Plastik, Nährstoffeinträge, Schifffahrt und Lieferketten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14.b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Kleinfischerei Zugang zu Ressourcen und Märkten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Meeres- und Küstenschutz, Fischerei, Plastik, Nährstoffeinträge, Schifffahrt und Lieferketten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14.c</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Internationales Seerecht und Meeresschutz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Meeres- und Küstenschutz, Fischerei, Plastik, Nährstoffeinträge, Schifffahrt und Lieferketten adressieren.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bl>
    <w:p/>
    <w:p>
      <w:pPr>
        <w:pStyle w:val="Heading2"/>
      </w:pPr>
      <w:r>
        <w:t>SDG 15: Leben an Land</w:t>
      </w:r>
    </w:p>
    <w:p>
      <w:pPr>
        <w:spacing w:after="140" w:line="259" w:lineRule="auto"/>
      </w:pPr>
      <w:r>
        <w:t>Für Leben an Land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15.1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Terrestrische und Binnengewässer-Ökosysteme schützen.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Biodiversität, Böden, Wälder, Flächenverbrauch, Renaturierung, Landwirtschaft und Natur als Infrastruktur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15.2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Wälder nachhaltig bewirtschaften und Entwaldung stoppen.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Biodiversität, Böden, Wälder, Flächenverbrauch, Renaturierung, Landwirtschaft und Natur als Infrastruktur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15.3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Wüstenbildung bekämpfen und degradierte Flächen wiederherstellen.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Biodiversität, Böden, Wälder, Flächenverbrauch, Renaturierung, Landwirtschaft und Natur als Infrastruktur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15.4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Bergökosysteme schützen.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Biodiversität, Böden, Wälder, Flächenverbrauch, Renaturierung, Landwirtschaft und Natur als Infrastruktur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15.5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Biodiversitätsverlust verringern und Arten schützen.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Biodiversität, Böden, Wälder, Flächenverbrauch, Renaturierung, Landwirtschaft und Natur als Infrastruktur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15.6</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Faire Nutzung genetischer Ressourcen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Biodiversität, Böden, Wälder, Flächenverbrauch, Renaturierung, Landwirtschaft und Natur als Infrastruktur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15.7</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Wilderei und illegalen Handel mit geschützten Arten bekämpfen.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Biodiversität, Böden, Wälder, Flächenverbrauch, Renaturierung, Landwirtschaft und Natur als Infrastruktur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15.8</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Invasive Arten verhindern und managen.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Biodiversität, Böden, Wälder, Flächenverbrauch, Renaturierung, Landwirtschaft und Natur als Infrastruktur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15.9</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Ökosystem- und Biodiversitätswerte in Planung und Berichte integrieren.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Biodiversität, Böden, Wälder, Flächenverbrauch, Renaturierung, Landwirtschaft und Natur als Infrastruktur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15.a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Finanzmittel für Biodiversität und Ökosysteme mobilisieren.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Biodiversität, Böden, Wälder, Flächenverbrauch, Renaturierung, Landwirtschaft und Natur als Infrastruktur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15.b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Mittel für nachhaltige Waldwirtschaft mobilisieren.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Biodiversität, Böden, Wälder, Flächenverbrauch, Renaturierung, Landwirtschaft und Natur als Infrastruktur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15.c</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Lokale Gemeinschaften gegen Wilderei und illegalen Handel unterstützen.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Biodiversität, Böden, Wälder, Flächenverbrauch, Renaturierung, Landwirtschaft und Natur als Infrastruktur übersetzen.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in Produkt-, Kapital-, Infrastruktur-, Ressourcen- und Steuerungsdaten übersetzt; Rückkopplung über WÖk-IDs, Scorecards, WUStG, T-SROI und Wirkungsfonds.</w:t>
            </w:r>
          </w:p>
        </w:tc>
      </w:tr>
    </w:tbl>
    <w:p/>
    <w:p>
      <w:pPr>
        <w:pStyle w:val="Heading2"/>
      </w:pPr>
      <w:r>
        <w:t>SDG 16: Frieden, Gerechtigkeit und starke Institutionen</w:t>
      </w:r>
    </w:p>
    <w:p>
      <w:pPr>
        <w:spacing w:after="140" w:line="259" w:lineRule="auto"/>
      </w:pPr>
      <w:r>
        <w:t>Für Frieden, Gerechtigkeit und starke Institutionen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16.1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Gewalt und gewaltbedingte Todesfälle reduzieren.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Rechtsstaat, Institutionen, Korruption, Gewaltprävention, Zugang zu Informationen, Beteiligung und SDG+ vertiefen.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16.2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Missbrauch, Ausbeutung und Gewalt gegen Kinder beenden.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Rechtsstaat, Institutionen, Korruption, Gewaltprävention, Zugang zu Informationen, Beteiligung und SDG+ vertiefen.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16.3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Rechtsstaatlichkeit und Zugang zu Justiz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Rechtsstaat, Institutionen, Korruption, Gewaltprävention, Zugang zu Informationen, Beteiligung und SDG+ vertiefen.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16.4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Illegale Finanz- und Waffenströme reduzieren.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Rechtsstaat, Institutionen, Korruption, Gewaltprävention, Zugang zu Informationen, Beteiligung und SDG+ vertiefen.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16.5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Korruption und Bestechung verringern.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Rechtsstaat, Institutionen, Korruption, Gewaltprävention, Zugang zu Informationen, Beteiligung und SDG+ vertiefen.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16.6</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Leistungsfähige, rechenschaftspflichtige Institutionen aufbauen.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Rechtsstaat, Institutionen, Korruption, Gewaltprävention, Zugang zu Informationen, Beteiligung und SDG+ vertiefen.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16.7</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Inklusive, partizipative und repräsentative Entscheidungsprozesse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Rechtsstaat, Institutionen, Korruption, Gewaltprävention, Zugang zu Informationen, Beteiligung und SDG+ vertiefen.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16.8</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Teilhabe von Entwicklungsländern in globalen Institutionen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Rechtsstaat, Institutionen, Korruption, Gewaltprävention, Zugang zu Informationen, Beteiligung und SDG+ vertiefen.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16.9</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Rechtliche Identität und Geburtsregistrierung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Rechtsstaat, Institutionen, Korruption, Gewaltprävention, Zugang zu Informationen, Beteiligung und SDG+ vertiefen.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16.10</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Zugang zu Informationen und Grundfreiheiten schützen.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Rechtsstaat, Institutionen, Korruption, Gewaltprävention, Zugang zu Informationen, Beteiligung und SDG+ vertiefen.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16.a</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Kapazitäten zur Gewaltprävention und Terrorismus-/Kriminalitätsbekämpfung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Rechtsstaat, Institutionen, Korruption, Gewaltprävention, Zugang zu Informationen, Beteiligung und SDG+ vertiefen.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16.b</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Nichtdiskriminierende Gesetze und Politiken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Rechtsstaat, Institutionen, Korruption, Gewaltprävention, Zugang zu Informationen, Beteiligung und SDG+ vertiefen.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bl>
    <w:p/>
    <w:p>
      <w:pPr>
        <w:pStyle w:val="Heading2"/>
      </w:pPr>
      <w:r>
        <w:t>SDG 17: Partnerschaften zur Erreichung der Ziele</w:t>
      </w:r>
    </w:p>
    <w:p>
      <w:pPr>
        <w:spacing w:after="140" w:line="259" w:lineRule="auto"/>
      </w:pPr>
      <w:r>
        <w:t>Für Partnerschaften zur Erreichung der Ziele werden die globalen Unterziele in einen Europa-/Deutschland-Bezug und eine wirkungsökonomische Rückkopplung übersetzt. Die Matrix ist als Startpunkt für Website, WÖk-ID-Mapping, Portalverlinkung und Dossierarbeit zu verstehen.</w:t>
      </w:r>
    </w:p>
    <w:tbl>
      <w:tblPr>
        <w:tblW w:type="auto" w:w="0"/>
        <w:jc w:val="center"/>
        <w:tblLayout w:type="autofit"/>
        <w:tblLook w:firstColumn="1" w:firstRow="1" w:lastColumn="0" w:lastRow="0" w:noHBand="0" w:noVBand="1" w:val="04A0"/>
      </w:tblPr>
      <w:tblGrid>
        <w:gridCol w:w="2556"/>
        <w:gridCol w:w="2556"/>
        <w:gridCol w:w="2556"/>
        <w:gridCol w:w="2556"/>
      </w:tblGrid>
      <w:tr>
        <w:trPr>
          <w:tblHeader w:val="true"/>
          <w:cantSplit/>
        </w:trPr>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Target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Globaler Inhalt (paraphrasiert)</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Europa/Deutschland</w:t>
            </w:r>
          </w:p>
        </w:tc>
        <w:tc>
          <w:tcPr>
            <w:tcW w:type="dxa" w:w="2556"/>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WÖk-Bedeutung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Inländische Ressourcenmobilisierung und Steuerkapazität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Entwicklungszusammenarbeit und Zusagen umsetzen.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Zusätzliche Finanzmittel mobilisieren.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Schuldenmanagement und Schuldentragfähigkeit unterstützen.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Investitionsförderung für Entwicklungsländer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17.6</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Wissenschaft, Technologie und Wissenstransfer ausbauen.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17.7</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Umweltfreundliche Technologien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17.8</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Technologiebank und IKT-Nutzung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17.9</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Kapazitätsaufbau unterstützen.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17.10</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Regelbasiertes und nichtdiskriminierendes Handelssystem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17.11</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Exporte von Entwicklungsländern erhöhen.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17.12</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Zoll- und Marktzugang verbessern.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17.13</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Makroökonomische Stabilität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17.14</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Politikkohärenz für nachhaltige Entwicklung verbessern.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17.15</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Nationale Eigenverantwortung und politische Spielräume achten.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17.16</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Globale Partnerschaften für nachhaltige Entwicklung stärken.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17.17</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Öffentlich-private und zivilgesellschaftliche Partnerschaften fördern.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17.18</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Datenverfügbarkeit und statistische Kapazitäten ausbauen.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r>
        <w:trPr>
          <w:cantSplit/>
        </w:trPr>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17.19</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Fortschrittsmessung jenseits des BIP und statistische Systeme weiterentwickeln.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Europa/Deutschland: Partnerschaften, Daten, Finanzierung, Handel, Politikkohärenz, EU-Standards und globale Anschlussfähigkeit sichern.</w:t>
            </w:r>
          </w:p>
        </w:tc>
        <w:tc>
          <w:tcPr>
            <w:tcW w:type="dxa" w:w="2556"/>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3"/>
              </w:rPr>
              <w:t>WÖk: Ziel wird zu Governance-, Vertrauens-, Rechtsstaatlichkeits-, Daten- und Partnerschaftslogik; enger Bezug zu SDG+.</w:t>
            </w:r>
          </w:p>
        </w:tc>
      </w:tr>
    </w:tbl>
    <w:p/>
    <w:p>
      <w:pPr>
        <w:pStyle w:val="Heading1"/>
      </w:pPr>
      <w:r>
        <w:t>7. Deutschland-/Europa-Bezug systematisch bestimmen</w:t>
      </w:r>
    </w:p>
    <w:p>
      <w:pPr>
        <w:spacing w:after="140" w:line="259" w:lineRule="auto"/>
      </w:pPr>
      <w:r>
        <w:t>Der Deutschland-/Europa-Bezug darf nicht bloß ein kurzer Satz sein. Er muss aus der Frage entstehen, welche Zustände in Deutschland oder Europa tatsächlich relevant sind. Bei SDG 2 bedeutet das weniger globale Hungerbekämpfung im engeren Sinn als Ernährungssysteme, Landwirtschaft, Bodengesundheit, Lebensmittelverschwendung, Lieferketten und gesunde Ernährung. Bei SDG 4 bedeutet es nicht nur Schulzugang, sondern Bildungsgerechtigkeit, Wirkungskompetenz, digitale Mündigkeit und Lehrkräfte.</w:t>
      </w:r>
    </w:p>
    <w:p>
      <w:pPr>
        <w:spacing w:after="140" w:line="259" w:lineRule="auto"/>
      </w:pPr>
      <w:r>
        <w:t>Die Website sollte deshalb je Target nicht nur übersetzen, sondern kontextualisieren: Warum ist dieses Unterziel hier relevant? Welche Daten gibt es? Welche Politikbereiche sind betroffen? Welche WÖk-Portale sind zu verlinken? Welche Tools entstehen daraus?</w:t>
      </w:r>
    </w:p>
    <w:p>
      <w:pPr>
        <w:pStyle w:val="Heading1"/>
      </w:pPr>
      <w:r>
        <w:t>8. Datenquellen und Indikatoren</w:t>
      </w:r>
    </w:p>
    <w:tbl>
      <w:tblPr>
        <w:tblW w:type="auto" w:w="0"/>
        <w:jc w:val="center"/>
        <w:tblLayout w:type="autofit"/>
        <w:tblLook w:firstColumn="1" w:firstRow="1" w:lastColumn="0" w:lastRow="0" w:noHBand="0" w:noVBand="1" w:val="04A0"/>
      </w:tblPr>
      <w:tblGrid>
        <w:gridCol w:w="3408"/>
        <w:gridCol w:w="3408"/>
        <w:gridCol w:w="3408"/>
      </w:tblGrid>
      <w:tr>
        <w:trPr>
          <w:tblHeader w:val="true"/>
          <w:cantSplit/>
        </w:trPr>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Datenebene</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Typische Quelle</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WÖk-Verwendung</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Global</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UNSD globaler Indikatorrahmen, UN-Datenbank.</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Zielbezug und internationale Vergleichbarkeit.</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Europa</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Eurostat EU-SDG-Indikatorenset, EU-Politiken, Taxonomie, CSRD/ESRS.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EU-Kontext, Markt- und Regulierungsanschluss.</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Deutschland</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Destatis, sdg-indikatoren.de, Deutsche Nachhaltigkeitsstrategie, Fachstatistiken.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Nationale und föderale Umsetzung, Deutschlandbezug.</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Unternehmen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CSRD, ESRS, GRI, Produktpässe, Lieferkettendaten.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Produkt-, Lieferketten- und Unternehmensscorecards.</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Kommunen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Haushaltsdaten, Sozialraumdaten, Klimaanpassung, Wohn- und Gesundheitsdaten.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Wirkungshaushalte, Quartiersprofile, kommunale Tool-Sets.</w:t>
            </w:r>
          </w:p>
        </w:tc>
      </w:tr>
    </w:tbl>
    <w:p/>
    <w:p>
      <w:pPr>
        <w:pStyle w:val="Heading1"/>
      </w:pPr>
      <w:r>
        <w:t>9. Zielkonflikte, Interdependenzen und Nichtkompensation</w:t>
      </w:r>
    </w:p>
    <w:p>
      <w:pPr>
        <w:spacing w:after="140" w:line="259" w:lineRule="auto"/>
      </w:pPr>
      <w:r>
        <w:t>SDG-Unterziele sind nicht unabhängig. Eine Klimamaßnahme kann soziale Belastungen erzeugen. Eine Industrieförderung kann Ressourcenverbrauch erhöhen. Eine Stadtverdichtung kann Flächen sparen und zugleich Gesundheit, Lärm oder Hitze beeinflussen. Die Wirkungsökonomie liest Unterziele deshalb nicht additiv, sondern interdependent.</w:t>
      </w:r>
    </w:p>
    <w:p>
      <w:pPr>
        <w:spacing w:after="140" w:line="259" w:lineRule="auto"/>
      </w:pPr>
      <w:r>
        <w:t>Das Nichtkompensationsprinzip ist entscheidend: Ein Fortschritt bei einem Unterziel darf schwere negative Wirkungen in einem anderen Unterziel nicht beliebig überdecken. Kinderarbeit kann nicht durch niedrige CO2-Werte kompensiert werden. Biodiversitätszerstörung kann nicht durch hohe Beschäftigung neutralisiert werden. Desinformation kann nicht durch Reichweite entschuldigt werden.</w:t>
      </w:r>
    </w:p>
    <w:p>
      <w:pPr>
        <w:spacing w:after="140" w:line="259" w:lineRule="auto"/>
      </w:pPr>
      <w:r>
        <w:t>Für die Unterzielmatrix bedeutet das: Jedes Target braucht rote Linien, Datenqualität und Zielkonfliktkommentar.</w:t>
      </w:r>
    </w:p>
    <w:p>
      <w:pPr>
        <w:pStyle w:val="Heading1"/>
      </w:pPr>
      <w:r>
        <w:t>Politische Anschlussfähigkeit und Umsetzungsoptionen</w:t>
      </w:r>
    </w:p>
    <w:p>
      <w:pPr>
        <w:spacing w:after="140" w:line="259" w:lineRule="auto"/>
      </w:pPr>
      <w:r>
        <w:t>Die folgenden politischen Anforderungen beschreiben keinen fertigen Parteibeschluss. Sie markieren den Rahmen, damit der Bereich SDG-Unterziele global, Europa und Deutschland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ayout w:type="autofit"/>
        <w:tblLook w:firstColumn="1" w:firstRow="1" w:lastColumn="0" w:lastRow="0" w:noHBand="0" w:noVBand="1" w:val="04A0"/>
      </w:tblPr>
      <w:tblGrid>
        <w:gridCol w:w="5112"/>
        <w:gridCol w:w="5112"/>
      </w:tblGrid>
      <w:tr>
        <w:trPr>
          <w:tblHeader w:val="true"/>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Ebene</w:t>
            </w:r>
          </w:p>
        </w:tc>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Aufgabe für Politik und Umsetzung</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Aufgabe der Politik</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Politik muss einen verlässlichen Referenzrahmen schaffen, ohne demokratische Entscheidungsspielräume durch Datenlogik zu ersetzen.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Politische Rahmenbedingungen</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Klare Zuständigkeiten, öffentliche Datenqualität, transparente Methodik, offene Konsultation und Schutz vor privater oder staatlicher Vereinnahmung.</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Ausgestaltungsspielraum</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Parteien können Tempo, Verbindlichkeit, Finanzierung, Pilotierung, Förderlogik, Sanktionslogik und Kompetenzverteilung unterschiedlich ausgestalten.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Zielkonflikte</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Internationale Anschlussfähigkeit, nationale Souveränität, Datenschutz, Bürokratiearmut, Wissenschaftlichkeit, soziale Abfederung und demokratische Kontrolle müssen austariert werden.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Rollenverteilung</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UN, EU, Bund, Länder, Kommunen, Statistik, Wissenschaft, Unternehmen, Zivilgesellschaft und Bürger:innen tragen unterschiedliche, klar abzugrenzende Rollen.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Übergang und Schutz</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Einführung über Pilotierung, Versionierung, Rechtsschutz, Transparenzpflichten, klare rote Linien und Anti-Social-Credit-Schutz.</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Evaluation und Korrektur</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Regelmäßige Wirkungsberichte, öffentliche Anhörungen, wissenschaftliche Review-Prozesse und lernende Anpassung der Indikatoren.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Parteipolitische Anschlussfähigkeit</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Konservative, liberale, sozialdemokratische, grüne, linke, kommunale und wirtschaftsnahe Perspektiven können den Rahmen unterschiedlich interpretieren.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Schutz vor Technokratie</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Wirkungsdaten bereiten Entscheidungen vor, ersetzen sie aber nicht. Normative Entscheidungen bleiben demokratisch legitimiert.</w:t>
            </w:r>
          </w:p>
        </w:tc>
      </w:tr>
    </w:tbl>
    <w:p/>
    <w:p>
      <w:pPr>
        <w:pStyle w:val="Heading1"/>
      </w:pPr>
      <w:r>
        <w:t>11. Website- und Portalintegration</w:t>
      </w:r>
    </w:p>
    <w:p>
      <w:pPr>
        <w:pStyle w:val="ListBullet"/>
        <w:spacing w:after="60"/>
      </w:pPr>
      <w:r>
        <w:t>Auf /verstehen/sdgs-sdgplus/ eine interaktive Matrix mit 17 SDGs und 169 Targets einbauen.</w:t>
      </w:r>
    </w:p>
    <w:p>
      <w:pPr>
        <w:pStyle w:val="ListBullet"/>
        <w:spacing w:after="60"/>
      </w:pPr>
      <w:r>
        <w:t>Jede Target-Zeile enthält: globaler Inhalt, EU-/Deutschland-Bezug, WÖk-Bedeutung, Datenquellen, Portalverweise und WÖk-ID-Familien.</w:t>
      </w:r>
    </w:p>
    <w:p>
      <w:pPr>
        <w:pStyle w:val="ListBullet"/>
        <w:spacing w:after="60"/>
      </w:pPr>
      <w:r>
        <w:t>Die Matrix muss filterbar sein nach SDG, Portal, WÖk-ID-Familie, Toolbezug und politischem Handlungsfeld.</w:t>
      </w:r>
    </w:p>
    <w:p>
      <w:pPr>
        <w:pStyle w:val="ListBullet"/>
        <w:spacing w:after="60"/>
      </w:pPr>
      <w:r>
        <w:t>Die Inhalte müssen vollständig online lesbar sein; CSV/JSON dienen zusätzlich für Datenpflege und Suchindex.</w:t>
      </w:r>
    </w:p>
    <w:p>
      <w:pPr>
        <w:pStyle w:val="ListBullet"/>
        <w:spacing w:after="60"/>
      </w:pPr>
      <w:r>
        <w:t>Hover/Tap bei SDG-Badges führt von Kurzdefinition zu Targetdetails und zurück zu Fachportalen.</w:t>
      </w:r>
    </w:p>
    <w:p>
      <w:pPr>
        <w:pStyle w:val="Heading1"/>
      </w:pPr>
      <w:r>
        <w:t>12. Fazit</w:t>
      </w:r>
    </w:p>
    <w:p>
      <w:pPr>
        <w:spacing w:after="140" w:line="259" w:lineRule="auto"/>
      </w:pPr>
      <w:r>
        <w:t>Die Unterziele sind der Punkt, an dem der SDG-Rahmen konkret wird. Sie verhindern dekorative SDG-Verwendung und ermöglichen präzise Wirkungsmessung. Für die Wirkungsökonomie sind sie die Brücke von globalen Zielen zu WÖk-IDs, Scorecards, Tools, Dossiers, Portalen, Wirkungshaushalten und politischer Umsetzung. Darum muss die SDG-/SDG+-Seite nicht nur die 17 Kacheln zeigen, sondern die Unterziele in Tiefe erschließen.</w:t>
      </w:r>
    </w:p>
    <w:p>
      <w:r>
        <w:br w:type="page"/>
      </w:r>
    </w:p>
    <w:p>
      <w:pPr>
        <w:pStyle w:val="Heading1"/>
      </w:pPr>
      <w:r>
        <w:t>Quellen und Online-Referenzen</w:t>
      </w:r>
    </w:p>
    <w:p>
      <w:pPr>
        <w:spacing w:after="140" w:line="259" w:lineRule="auto"/>
      </w:pPr>
      <w:r>
        <w:t>Diese Ausarbeitung nutzt vorhandene WÖk-Grundlagen und offizielle öffentliche Quellen. Quellenangaben sind bewusst transparent gehalten, damit die Website später direkt auf die Primärquellen verlinken kann.</w:t>
      </w:r>
    </w:p>
    <w:tbl>
      <w:tblPr>
        <w:tblW w:type="auto" w:w="0"/>
        <w:jc w:val="center"/>
        <w:tblLayout w:type="autofit"/>
        <w:tblLook w:firstColumn="1" w:firstRow="1" w:lastColumn="0" w:lastRow="0" w:noHBand="0" w:noVBand="1" w:val="04A0"/>
      </w:tblPr>
      <w:tblGrid>
        <w:gridCol w:w="3408"/>
        <w:gridCol w:w="3408"/>
        <w:gridCol w:w="3408"/>
      </w:tblGrid>
      <w:tr>
        <w:trPr>
          <w:tblHeader w:val="true"/>
          <w:cantSplit/>
        </w:trPr>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Quelle</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Bezug</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Link / Referenz</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United Nations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Transforming our world: the 2030 Agenda for Sustainable Development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https://sdgs.un.org/2030agenda</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United Nations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The 17 Sustainable Development Goals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https://sdgs.un.org/goals</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UN Statistics Division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Global indicator framework for the SDGs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https://unstats.un.org/sdgs/indicators/indicators-list/</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Eurostat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Sustainable development goals – EU monitoring and data</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https://ec.europa.eu/eurostat/web/sdi</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Eurostat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Sustainable development in the European Union – 2025 monitoring report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https://ec.europa.eu/eurostat/web/products-flagship-publications/w/ks-01-24-018</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Destatis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Sustainable development indicators / SDG indicators for Germany</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https://sdg-indikatoren.de/</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Bundesregierung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Agenda 2030 und Deutsche Nachhaltigkeitsstrategie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https://www.bundesregierung.de/breg-de/aktuelles/nachhaltigkeitsziele-erklaert-232174</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Bundesregierung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Deutsche Nachhaltigkeitsstrategie 2025</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https://www.bundesregierung.de/breg-de/aktuelles/deutsche-nachhaltigkeitsstrategie-2025-2332540</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Wirkungsökonomie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Führender Begriffsleitfaden v1.0</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internes Referenzdokument, 21. Mai 2026</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Natalie Weber</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Die neue Ordnung des Wohlstands, Arbeitsfassung 2026</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interne Buchgrundlage</w:t>
            </w:r>
          </w:p>
        </w:tc>
      </w:tr>
    </w:tbl>
    <w:p/>
    <w:p>
      <w:pPr>
        <w:pStyle w:val="Heading1"/>
      </w:pPr>
      <w:r>
        <w:t>Website- und Portalintegration</w:t>
      </w:r>
    </w:p>
    <w:p>
      <w:pPr>
        <w:spacing w:after="140" w:line="259" w:lineRule="auto"/>
      </w:pPr>
      <w:r>
        <w:t>Dieses Detailkonzept muss auf wirkungsoekonomie.de nicht nur als Download erscheinen, sondern als vollständiger Online-Volltext mit Kapitelankern, Quellenblock, Downloadkarte, Buchanker, Glossarlinks, SDG-/SDG+-Badges, Verweisen auf WÖk-IDs, Scorecards und politische Anschlussfähigkeit. Öffentliche Inhalte dürfen keine CodeX- oder Repository-Anweisungen enthalten.</w:t>
      </w:r>
    </w:p>
    <w:sectPr w:rsidR="00FC693F" w:rsidRPr="0006063C" w:rsidSect="00034616">
      <w:headerReference w:type="default" r:id="rId9"/>
      <w:footerReference w:type="default" r:id="rId1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color w:val="252A2C"/>
        <w:sz w:val="16"/>
      </w:rPr>
      <w:t>DETAILKONZEPT · v1.0 · 24.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color w:val="2F7D5C"/>
        <w:sz w:val="16"/>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52A2C"/>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Georgia" w:hAnsi="Georgia" w:eastAsia="Georgia"/>
      <w:b/>
      <w:bCs/>
      <w:color w:val="080D20"/>
      <w:sz w:val="36"/>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Georgia" w:hAnsi="Georgia" w:eastAsia="Georgia"/>
      <w:b/>
      <w:bCs/>
      <w:color w:val="080D20"/>
      <w:sz w:val="28"/>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Georgia" w:hAnsi="Georgia" w:eastAsia="Georgia"/>
      <w:b/>
      <w:bCs/>
      <w:color w:val="2F7D5C"/>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_WOEK">
    <w:name w:val="Title_WOEK"/>
    <w:rPr>
      <w:rFonts w:ascii="Georgia" w:hAnsi="Georgia" w:eastAsia="Georgia"/>
      <w:b/>
      <w:color w:val="080D20"/>
      <w:sz w:val="48"/>
    </w:rPr>
  </w:style>
  <w:style w:type="paragraph" w:customStyle="1" w:styleId="Subtitle_WOEK">
    <w:name w:val="Subtitle_WOEK"/>
    <w:rPr>
      <w:rFonts w:ascii="Georgia" w:hAnsi="Georgia" w:eastAsia="Georgia"/>
      <w:b w:val="0"/>
      <w:color w:val="2F7D5C"/>
      <w:sz w:val="26"/>
    </w:rPr>
  </w:style>
  <w:style w:type="paragraph" w:customStyle="1" w:styleId="Quote_WOEK">
    <w:name w:val="Quote_WOEK"/>
    <w:rPr>
      <w:rFonts w:ascii="Georgia" w:hAnsi="Georgia" w:eastAsia="Georgia"/>
      <w:b w:val="0"/>
      <w:color w:val="2F7D5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03_woek_sdg_unterziele_global_europa_deutschland_detailkonzept_v1_0</dc:title>
  <dc:subject>Wirkungsökonomie Detailkonzept</dc:subject>
  <dc:creator>Natalie Weber · Wirkungsökonomie</dc:creator>
  <cp:keywords/>
  <dc:description>Erstellt als öffentliche Arbeitsfassung; keine internen CodeX-Anweisungen enthalten.</dc:description>
  <cp:lastModifiedBy/>
  <cp:revision>1</cp:revision>
  <dcterms:created xsi:type="dcterms:W3CDTF">2013-12-23T23:15:00Z</dcterms:created>
  <dcterms:modified xsi:type="dcterms:W3CDTF">2013-12-23T23:15:00Z</dcterms:modified>
  <cp:category/>
</cp:coreProperties>
</file>