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OEKLabel"/>
        <w:jc w:val="left"/>
      </w:pPr>
      <w:r>
        <w:rPr>
          <w:b/>
        </w:rPr>
        <w:t>WIRKUNGSÖKONOMIE</w:t>
      </w:r>
    </w:p>
    <w:p>
      <w:pPr>
        <w:pStyle w:val="Title"/>
      </w:pPr>
      <w:r>
        <w:t>SDGs als Risikomanagement und Finanzmarkt-Anschluss</w:t>
      </w:r>
    </w:p>
    <w:p>
      <w:pPr>
        <w:pStyle w:val="Heading2"/>
      </w:pPr>
      <w:r>
        <w:t>Warum SDGs für Banken, Versicherungen, Börse, Kapitalzugang und Wirkungsökonomie relevant sind</w:t>
      </w:r>
    </w:p>
    <w:p>
      <w:pPr>
        <w:pStyle w:val="WOEKQuote"/>
      </w:pPr>
      <w:r>
        <w:t>„Die SDGs sind nicht nur Ziele. Sie sind eine Karte der Risiken, die Märkte und Gesellschaften stabil oder instabil machen.“</w:t>
      </w:r>
    </w:p>
    <w:p/>
    <w:tbl>
      <w:tblPr>
        <w:tblStyle w:val="TableGrid"/>
        <w:tblW w:type="auto" w:w="0"/>
        <w:tblLook w:firstColumn="1" w:firstRow="1" w:lastColumn="0" w:lastRow="0" w:noHBand="0" w:noVBand="1" w:val="04A0"/>
      </w:tblPr>
      <w:tblGrid>
        <w:gridCol w:w="4986"/>
        <w:gridCol w:w="4986"/>
      </w:tblGrid>
      <w:tr>
        <w:tc>
          <w:tcPr>
            <w:tcW w:type="dxa" w:w="4986"/>
            <w:vAlign w:val="top"/>
            <w:shd w:fill="F3EFE6"/>
          </w:tcPr>
          <w:p>
            <w:pPr>
              <w:spacing w:after="0"/>
            </w:pPr>
            <w:r/>
            <w:r>
              <w:rPr>
                <w:rFonts w:ascii="Liberation Sans" w:hAnsi="Liberation Sans"/>
                <w:b/>
                <w:color w:val="2F7D5C"/>
                <w:sz w:val="18"/>
              </w:rPr>
              <w:t>Autorin</w:t>
            </w:r>
          </w:p>
        </w:tc>
        <w:tc>
          <w:tcPr>
            <w:tcW w:type="dxa" w:w="4986"/>
            <w:vAlign w:val="top"/>
          </w:tcPr>
          <w:p>
            <w:pPr>
              <w:spacing w:after="0"/>
            </w:pPr>
            <w:r/>
            <w:r>
              <w:rPr>
                <w:rFonts w:ascii="Liberation Sans" w:hAnsi="Liberation Sans"/>
                <w:b w:val="0"/>
                <w:color w:val="42404C"/>
                <w:sz w:val="18"/>
              </w:rPr>
              <w:t>Natalie Weber</w:t>
            </w:r>
          </w:p>
        </w:tc>
      </w:tr>
      <w:tr>
        <w:tc>
          <w:tcPr>
            <w:tcW w:type="dxa" w:w="4986"/>
            <w:vAlign w:val="top"/>
            <w:shd w:fill="F3EFE6"/>
          </w:tcPr>
          <w:p>
            <w:pPr>
              <w:spacing w:after="0"/>
            </w:pPr>
            <w:r/>
            <w:r>
              <w:rPr>
                <w:rFonts w:ascii="Liberation Sans" w:hAnsi="Liberation Sans"/>
                <w:b/>
                <w:color w:val="2F7D5C"/>
                <w:sz w:val="18"/>
              </w:rPr>
              <w:t>Referenz</w:t>
            </w:r>
          </w:p>
        </w:tc>
        <w:tc>
          <w:tcPr>
            <w:tcW w:type="dxa" w:w="4986"/>
            <w:vAlign w:val="top"/>
          </w:tcPr>
          <w:p>
            <w:pPr>
              <w:spacing w:after="0"/>
            </w:pPr>
            <w:r/>
            <w:r>
              <w:rPr>
                <w:rFonts w:ascii="Liberation Sans" w:hAnsi="Liberation Sans"/>
                <w:b w:val="0"/>
                <w:color w:val="42404C"/>
                <w:sz w:val="18"/>
              </w:rPr>
              <w:t>Wirkungsökonomie</w:t>
            </w:r>
          </w:p>
        </w:tc>
      </w:tr>
      <w:tr>
        <w:tc>
          <w:tcPr>
            <w:tcW w:type="dxa" w:w="4986"/>
            <w:vAlign w:val="top"/>
            <w:shd w:fill="F3EFE6"/>
          </w:tcPr>
          <w:p>
            <w:pPr>
              <w:spacing w:after="0"/>
            </w:pPr>
            <w:r/>
            <w:r>
              <w:rPr>
                <w:rFonts w:ascii="Liberation Sans" w:hAnsi="Liberation Sans"/>
                <w:b/>
                <w:color w:val="2F7D5C"/>
                <w:sz w:val="18"/>
              </w:rPr>
              <w:t>Version</w:t>
            </w:r>
          </w:p>
        </w:tc>
        <w:tc>
          <w:tcPr>
            <w:tcW w:type="dxa" w:w="4986"/>
            <w:vAlign w:val="top"/>
          </w:tcPr>
          <w:p>
            <w:pPr>
              <w:spacing w:after="0"/>
            </w:pPr>
            <w:r/>
            <w:r>
              <w:rPr>
                <w:rFonts w:ascii="Liberation Sans" w:hAnsi="Liberation Sans"/>
                <w:b w:val="0"/>
                <w:color w:val="42404C"/>
                <w:sz w:val="18"/>
              </w:rPr>
              <w:t>v1.0</w:t>
            </w:r>
          </w:p>
        </w:tc>
      </w:tr>
      <w:tr>
        <w:tc>
          <w:tcPr>
            <w:tcW w:type="dxa" w:w="4986"/>
            <w:vAlign w:val="top"/>
            <w:shd w:fill="F3EFE6"/>
          </w:tcPr>
          <w:p>
            <w:pPr>
              <w:spacing w:after="0"/>
            </w:pPr>
            <w:r/>
            <w:r>
              <w:rPr>
                <w:rFonts w:ascii="Liberation Sans" w:hAnsi="Liberation Sans"/>
                <w:b/>
                <w:color w:val="2F7D5C"/>
                <w:sz w:val="18"/>
              </w:rPr>
              <w:t>Status</w:t>
            </w:r>
          </w:p>
        </w:tc>
        <w:tc>
          <w:tcPr>
            <w:tcW w:type="dxa" w:w="4986"/>
            <w:vAlign w:val="top"/>
          </w:tcPr>
          <w:p>
            <w:pPr>
              <w:spacing w:after="0"/>
            </w:pPr>
            <w:r/>
            <w:r>
              <w:rPr>
                <w:rFonts w:ascii="Liberation Sans" w:hAnsi="Liberation Sans"/>
                <w:b w:val="0"/>
                <w:color w:val="42404C"/>
                <w:sz w:val="18"/>
              </w:rPr>
              <w:t>öffentliche Ausarbeitung</w:t>
            </w:r>
          </w:p>
        </w:tc>
      </w:tr>
      <w:tr>
        <w:tc>
          <w:tcPr>
            <w:tcW w:type="dxa" w:w="4986"/>
            <w:vAlign w:val="top"/>
            <w:shd w:fill="F3EFE6"/>
          </w:tcPr>
          <w:p>
            <w:pPr>
              <w:spacing w:after="0"/>
            </w:pPr>
            <w:r/>
            <w:r>
              <w:rPr>
                <w:rFonts w:ascii="Liberation Sans" w:hAnsi="Liberation Sans"/>
                <w:b/>
                <w:color w:val="2F7D5C"/>
                <w:sz w:val="18"/>
              </w:rPr>
              <w:t>Stand</w:t>
            </w:r>
          </w:p>
        </w:tc>
        <w:tc>
          <w:tcPr>
            <w:tcW w:type="dxa" w:w="4986"/>
            <w:vAlign w:val="top"/>
          </w:tcPr>
          <w:p>
            <w:pPr>
              <w:spacing w:after="0"/>
            </w:pPr>
            <w:r/>
            <w:r>
              <w:rPr>
                <w:rFonts w:ascii="Liberation Sans" w:hAnsi="Liberation Sans"/>
                <w:b w:val="0"/>
                <w:color w:val="42404C"/>
                <w:sz w:val="18"/>
              </w:rPr>
              <w:t>24. Mai 2026</w:t>
            </w:r>
          </w:p>
        </w:tc>
      </w:tr>
    </w:tbl>
    <w:p/>
    <w:p>
      <w:r>
        <w:rPr>
          <w:b/>
        </w:rPr>
        <w:t xml:space="preserve">Hinweis: </w:t>
      </w:r>
      <w:r>
        <w:t>Konzeptionelle Arbeitsfassung. Keine Rechts-, Steuer-, Anlage- oder Finanzierungsberatung. Öffentliche Fassung ohne interne CodeX- oder Repository-Anweisungen.</w:t>
      </w:r>
    </w:p>
    <w:p>
      <w:r>
        <w:br w:type="page"/>
      </w:r>
    </w:p>
    <w:p>
      <w:pPr>
        <w:pStyle w:val="Heading1"/>
      </w:pPr>
      <w:r>
        <w:t>Kurzprofil</w:t>
      </w:r>
    </w:p>
    <w:tbl>
      <w:tblPr>
        <w:tblStyle w:val="TableGrid"/>
        <w:tblW w:type="auto" w:w="0"/>
        <w:jc w:val="center"/>
        <w:tblLook w:firstColumn="1" w:firstRow="1" w:lastColumn="0" w:lastRow="0" w:noHBand="0" w:noVBand="1" w:val="04A0"/>
      </w:tblPr>
      <w:tblGrid>
        <w:gridCol w:w="4986"/>
        <w:gridCol w:w="4986"/>
      </w:tblGrid>
      <w:tr>
        <w:tc>
          <w:tcPr>
            <w:tcW w:type="dxa" w:w="2381"/>
            <w:vAlign w:val="top"/>
            <w:shd w:fill="F3EFE6"/>
          </w:tcPr>
          <w:p>
            <w:pPr>
              <w:spacing w:after="0"/>
            </w:pPr>
            <w:r/>
            <w:r>
              <w:rPr>
                <w:rFonts w:ascii="Liberation Sans" w:hAnsi="Liberation Sans"/>
                <w:b/>
                <w:color w:val="080120"/>
                <w:sz w:val="18"/>
              </w:rPr>
              <w:t>Metadatum</w:t>
            </w:r>
          </w:p>
        </w:tc>
        <w:tc>
          <w:tcPr>
            <w:tcW w:type="dxa" w:w="6236"/>
            <w:vAlign w:val="top"/>
            <w:shd w:fill="F3EFE6"/>
          </w:tcPr>
          <w:p>
            <w:pPr>
              <w:spacing w:after="0"/>
            </w:pPr>
            <w:r/>
            <w:r>
              <w:rPr>
                <w:rFonts w:ascii="Liberation Sans" w:hAnsi="Liberation Sans"/>
                <w:b/>
                <w:color w:val="080120"/>
                <w:sz w:val="18"/>
              </w:rPr>
              <w:t>Angabe</w:t>
            </w:r>
          </w:p>
        </w:tc>
      </w:tr>
      <w:tr>
        <w:tc>
          <w:tcPr>
            <w:tcW w:type="dxa" w:w="2381"/>
            <w:vAlign w:val="top"/>
          </w:tcPr>
          <w:p>
            <w:pPr>
              <w:spacing w:after="0"/>
            </w:pPr>
            <w:r/>
            <w:r>
              <w:rPr>
                <w:rFonts w:ascii="Liberation Sans" w:hAnsi="Liberation Sans"/>
                <w:b w:val="0"/>
                <w:color w:val="42404C"/>
                <w:sz w:val="18"/>
              </w:rPr>
              <w:t>Dokumenttyp</w:t>
            </w:r>
          </w:p>
        </w:tc>
        <w:tc>
          <w:tcPr>
            <w:tcW w:type="dxa" w:w="6236"/>
            <w:vAlign w:val="top"/>
          </w:tcPr>
          <w:p>
            <w:pPr>
              <w:spacing w:after="0"/>
            </w:pPr>
            <w:r/>
            <w:r>
              <w:rPr>
                <w:rFonts w:ascii="Liberation Sans" w:hAnsi="Liberation Sans"/>
                <w:b w:val="0"/>
                <w:color w:val="42404C"/>
                <w:sz w:val="18"/>
              </w:rPr>
              <w:t>Öffentliches Detailkonzept</w:t>
            </w:r>
          </w:p>
        </w:tc>
      </w:tr>
      <w:tr>
        <w:tc>
          <w:tcPr>
            <w:tcW w:type="dxa" w:w="2381"/>
            <w:vAlign w:val="top"/>
          </w:tcPr>
          <w:p>
            <w:pPr>
              <w:spacing w:after="0"/>
            </w:pPr>
            <w:r/>
            <w:r>
              <w:rPr>
                <w:rFonts w:ascii="Liberation Sans" w:hAnsi="Liberation Sans"/>
                <w:b w:val="0"/>
                <w:color w:val="42404C"/>
                <w:sz w:val="18"/>
              </w:rPr>
              <w:t>Zugehöriges Portal</w:t>
            </w:r>
          </w:p>
        </w:tc>
        <w:tc>
          <w:tcPr>
            <w:tcW w:type="dxa" w:w="6236"/>
            <w:vAlign w:val="top"/>
          </w:tcPr>
          <w:p>
            <w:pPr>
              <w:spacing w:after="0"/>
            </w:pPr>
            <w:r/>
            <w:r>
              <w:rPr>
                <w:rFonts w:ascii="Liberation Sans" w:hAnsi="Liberation Sans"/>
                <w:b w:val="0"/>
                <w:color w:val="42404C"/>
                <w:sz w:val="18"/>
              </w:rPr>
              <w:t>SDG-/SDG+-Referenzrahmen</w:t>
            </w:r>
          </w:p>
        </w:tc>
      </w:tr>
      <w:tr>
        <w:tc>
          <w:tcPr>
            <w:tcW w:type="dxa" w:w="2381"/>
            <w:vAlign w:val="top"/>
          </w:tcPr>
          <w:p>
            <w:pPr>
              <w:spacing w:after="0"/>
            </w:pPr>
            <w:r/>
            <w:r>
              <w:rPr>
                <w:rFonts w:ascii="Liberation Sans" w:hAnsi="Liberation Sans"/>
                <w:b w:val="0"/>
                <w:color w:val="42404C"/>
                <w:sz w:val="18"/>
              </w:rPr>
              <w:t>Unterbereich</w:t>
            </w:r>
          </w:p>
        </w:tc>
        <w:tc>
          <w:tcPr>
            <w:tcW w:type="dxa" w:w="6236"/>
            <w:vAlign w:val="top"/>
          </w:tcPr>
          <w:p>
            <w:pPr>
              <w:spacing w:after="0"/>
            </w:pPr>
            <w:r/>
            <w:r>
              <w:rPr>
                <w:rFonts w:ascii="Liberation Sans" w:hAnsi="Liberation Sans"/>
                <w:b w:val="0"/>
                <w:color w:val="42404C"/>
                <w:sz w:val="18"/>
              </w:rPr>
              <w:t>SDGs als Risikomanagement und Finanzmarkt-Anschluss</w:t>
            </w:r>
          </w:p>
        </w:tc>
      </w:tr>
      <w:tr>
        <w:tc>
          <w:tcPr>
            <w:tcW w:type="dxa" w:w="2381"/>
            <w:vAlign w:val="top"/>
          </w:tcPr>
          <w:p>
            <w:pPr>
              <w:spacing w:after="0"/>
            </w:pPr>
            <w:r/>
            <w:r>
              <w:rPr>
                <w:rFonts w:ascii="Liberation Sans" w:hAnsi="Liberation Sans"/>
                <w:b w:val="0"/>
                <w:color w:val="42404C"/>
                <w:sz w:val="18"/>
              </w:rPr>
              <w:t>Autorin</w:t>
            </w:r>
          </w:p>
        </w:tc>
        <w:tc>
          <w:tcPr>
            <w:tcW w:type="dxa" w:w="6236"/>
            <w:vAlign w:val="top"/>
          </w:tcPr>
          <w:p>
            <w:pPr>
              <w:spacing w:after="0"/>
            </w:pPr>
            <w:r/>
            <w:r>
              <w:rPr>
                <w:rFonts w:ascii="Liberation Sans" w:hAnsi="Liberation Sans"/>
                <w:b w:val="0"/>
                <w:color w:val="42404C"/>
                <w:sz w:val="18"/>
              </w:rPr>
              <w:t>Natalie Weber · Wirkungsökonomie</w:t>
            </w:r>
          </w:p>
        </w:tc>
      </w:tr>
      <w:tr>
        <w:tc>
          <w:tcPr>
            <w:tcW w:type="dxa" w:w="2381"/>
            <w:vAlign w:val="top"/>
          </w:tcPr>
          <w:p>
            <w:pPr>
              <w:spacing w:after="0"/>
            </w:pPr>
            <w:r/>
            <w:r>
              <w:rPr>
                <w:rFonts w:ascii="Liberation Sans" w:hAnsi="Liberation Sans"/>
                <w:b w:val="0"/>
                <w:color w:val="42404C"/>
                <w:sz w:val="18"/>
              </w:rPr>
              <w:t>Öffentlichkeit</w:t>
            </w:r>
          </w:p>
        </w:tc>
        <w:tc>
          <w:tcPr>
            <w:tcW w:type="dxa" w:w="6236"/>
            <w:vAlign w:val="top"/>
          </w:tcPr>
          <w:p>
            <w:pPr>
              <w:spacing w:after="0"/>
            </w:pPr>
            <w:r/>
            <w:r>
              <w:rPr>
                <w:rFonts w:ascii="Liberation Sans" w:hAnsi="Liberation Sans"/>
                <w:b w:val="0"/>
                <w:color w:val="42404C"/>
                <w:sz w:val="18"/>
              </w:rPr>
              <w:t>Enthält keine internen CodeX-/Repository-Anweisungen</w:t>
            </w:r>
          </w:p>
        </w:tc>
      </w:tr>
      <w:tr>
        <w:tc>
          <w:tcPr>
            <w:tcW w:type="dxa" w:w="2381"/>
            <w:vAlign w:val="top"/>
          </w:tcPr>
          <w:p>
            <w:pPr>
              <w:spacing w:after="0"/>
            </w:pPr>
            <w:r/>
            <w:r>
              <w:rPr>
                <w:rFonts w:ascii="Liberation Sans" w:hAnsi="Liberation Sans"/>
                <w:b w:val="0"/>
                <w:color w:val="42404C"/>
                <w:sz w:val="18"/>
              </w:rPr>
              <w:t>Hinweis</w:t>
            </w:r>
          </w:p>
        </w:tc>
        <w:tc>
          <w:tcPr>
            <w:tcW w:type="dxa" w:w="6236"/>
            <w:vAlign w:val="top"/>
          </w:tcPr>
          <w:p>
            <w:pPr>
              <w:spacing w:after="0"/>
            </w:pPr>
            <w:r/>
            <w:r>
              <w:rPr>
                <w:rFonts w:ascii="Liberation Sans" w:hAnsi="Liberation Sans"/>
                <w:b w:val="0"/>
                <w:color w:val="42404C"/>
                <w:sz w:val="18"/>
              </w:rPr>
              <w:t>Konzeptionelle Arbeitsfassung. Grundlage für Website, Glossar, Downloadbereich und Portalarchitektur.</w:t>
            </w:r>
          </w:p>
        </w:tc>
      </w:tr>
    </w:tbl>
    <w:p/>
    <w:p>
      <w:pPr>
        <w:pStyle w:val="Heading1"/>
      </w:pPr>
      <w:r>
        <w:t>Inhaltsübersicht</w:t>
      </w:r>
    </w:p>
    <w:p>
      <w:r>
        <w:rPr>
          <w:b/>
        </w:rPr>
        <w:t xml:space="preserve">1. </w:t>
      </w:r>
      <w:r>
        <w:t>Executive Summary</w:t>
      </w:r>
    </w:p>
    <w:p>
      <w:r>
        <w:rPr>
          <w:b/>
        </w:rPr>
        <w:t xml:space="preserve">2. </w:t>
      </w:r>
      <w:r>
        <w:t>Warum die SDGs für den Finanzmarkt relevant sind</w:t>
      </w:r>
    </w:p>
    <w:p>
      <w:r>
        <w:rPr>
          <w:b/>
        </w:rPr>
        <w:t xml:space="preserve">3. </w:t>
      </w:r>
      <w:r>
        <w:t>SDGs als Risikokarte statt als Ideologie</w:t>
      </w:r>
    </w:p>
    <w:p>
      <w:r>
        <w:rPr>
          <w:b/>
        </w:rPr>
        <w:t xml:space="preserve">4. </w:t>
      </w:r>
      <w:r>
        <w:t>Die 17 Ziele als strukturierte Risikofelder</w:t>
      </w:r>
    </w:p>
    <w:p>
      <w:r>
        <w:rPr>
          <w:b/>
        </w:rPr>
        <w:t xml:space="preserve">5. </w:t>
      </w:r>
      <w:r>
        <w:t>Finanzielle Übertragungskanäle: Kredit, Kapital, Versicherung, Bewertung</w:t>
      </w:r>
    </w:p>
    <w:p>
      <w:r>
        <w:rPr>
          <w:b/>
        </w:rPr>
        <w:t xml:space="preserve">6. </w:t>
      </w:r>
      <w:r>
        <w:t>Heutige Regulierungs- und Marktanschlüsse</w:t>
      </w:r>
    </w:p>
    <w:p>
      <w:r>
        <w:rPr>
          <w:b/>
        </w:rPr>
        <w:t xml:space="preserve">7. </w:t>
      </w:r>
      <w:r>
        <w:t>Banken: ESG-Risiken, Kreditprüfung und EBA-Anschluss</w:t>
      </w:r>
    </w:p>
    <w:p>
      <w:r>
        <w:rPr>
          <w:b/>
        </w:rPr>
        <w:t xml:space="preserve">8. </w:t>
      </w:r>
      <w:r>
        <w:t>Versicherungen: Versicherbarkeit als Wirklichkeitsprüfung</w:t>
      </w:r>
    </w:p>
    <w:p>
      <w:r>
        <w:rPr>
          <w:b/>
        </w:rPr>
        <w:t xml:space="preserve">9. </w:t>
      </w:r>
      <w:r>
        <w:t>Börse, ESG-Ratings und Investorenerwartungen</w:t>
      </w:r>
    </w:p>
    <w:p>
      <w:r>
        <w:rPr>
          <w:b/>
        </w:rPr>
        <w:t xml:space="preserve">10. </w:t>
      </w:r>
      <w:r>
        <w:t>KMU und mittelbare Betroffenheit</w:t>
      </w:r>
    </w:p>
    <w:p>
      <w:r>
        <w:rPr>
          <w:b/>
        </w:rPr>
        <w:t xml:space="preserve">11. </w:t>
      </w:r>
      <w:r>
        <w:t>Wirkungsökonomische Einordnung: von Risiko zu Rückkopplung</w:t>
      </w:r>
    </w:p>
    <w:p>
      <w:r>
        <w:rPr>
          <w:b/>
        </w:rPr>
        <w:t xml:space="preserve">12. </w:t>
      </w:r>
      <w:r>
        <w:t>WÖk-Datenarchitektur: SDGs, WÖk-IDs, Scorecards und NWI</w:t>
      </w:r>
    </w:p>
    <w:p>
      <w:r>
        <w:rPr>
          <w:b/>
        </w:rPr>
        <w:t xml:space="preserve">13. </w:t>
      </w:r>
      <w:r>
        <w:t>Unternehmenspraxis: Was heute schon vorbereitet werden muss</w:t>
      </w:r>
    </w:p>
    <w:p>
      <w:r>
        <w:rPr>
          <w:b/>
        </w:rPr>
        <w:t xml:space="preserve">14. </w:t>
      </w:r>
      <w:r>
        <w:t>Tool- und Dossierlogik für die Website</w:t>
      </w:r>
    </w:p>
    <w:p>
      <w:r>
        <w:rPr>
          <w:b/>
        </w:rPr>
        <w:t xml:space="preserve">15. </w:t>
      </w:r>
      <w:r>
        <w:t>Politische Anschlussfähigkeit und Umsetzungsoptionen</w:t>
      </w:r>
    </w:p>
    <w:p>
      <w:r>
        <w:rPr>
          <w:b/>
        </w:rPr>
        <w:t xml:space="preserve">16. </w:t>
      </w:r>
      <w:r>
        <w:t>Quellen und Referenzen</w:t>
      </w:r>
    </w:p>
    <w:p>
      <w:r>
        <w:br w:type="page"/>
      </w:r>
    </w:p>
    <w:p>
      <w:pPr>
        <w:pStyle w:val="Heading1"/>
      </w:pPr>
      <w:r>
        <w:t>1. Executive Summary</w:t>
      </w:r>
    </w:p>
    <w:p>
      <w:r>
        <w:t>Die SDGs sind für den Finanzmarkt nicht nur ein Nachhaltigkeitssymbol. Sie strukturieren Risiken, die für Kreditvergabe, Kapitalzugang, Versicherbarkeit, Unternehmensbewertung, Lieferkettenstabilität und öffentliche Finanzierung relevant sind. Klimarisiken, Wasserstress, Biodiversitätsverlust, Arbeitsrechtsverletzungen, Gesundheitsrisiken, Ungleichheit, institutionelle Schwäche und Desinformation sind keine bloßen Wertefragen. Sie können Zahlungsströme, Kosten, Haftungsrisiken, Standorte, Geschäftsmodelle und Marktvertrauen verändern.</w:t>
      </w:r>
    </w:p>
    <w:p>
      <w:r>
        <w:t>Der Finanzmarkt hat diese Logik bereits teilweise übernommen. TCFD, ISSB, EU-Taxonomie, CSRD/ESRS, SFDR, ESG-Ratings, EBA-Leitlinien zu ESG-Risiken und Versicherungsaufsicht übersetzen Nachhaltigkeit zunehmend in Risiko-, Daten- und Kapitalanforderungen. Unternehmen werden damit nicht nur über Börsenregeln betroffen, sondern auch über Banken, Versicherungen, Kundenanforderungen und Lieferketten.</w:t>
      </w:r>
    </w:p>
    <w:p>
      <w:r>
        <w:t>Die Wirkungsökonomie ordnet diesen Trend ein: Nachhaltigkeitsdaten sind nicht „grüne Zusatzdaten“, sondern Wirkungs-, Risiko-, Finanzierungs- und Steuerungsdaten. Der Unterschied zur klassischen ESG-Logik liegt darin, dass die WÖk nicht nur fragt, wie Nachhaltigkeitsrisiken ein Unternehmen finanziell betreffen. Sie fragt auch, welche Wirkung Unternehmen, Produkte, Kapitalflüsse und politische Entscheidungen auf Mensch, Planet und Demokratie erzeugen.</w:t>
      </w:r>
    </w:p>
    <w:p>
      <w:r>
        <w:t>Dieses Detailkonzept bildet die Grundlage für eine Website-Unterseite „SDGs als Risikomanagement und Finanzmarkt-Anschluss“. Sie soll erklären, warum die SDGs nicht als ideologischer Schmuck, sondern als strukturierte Risiko- und Wirkungsarchitektur gelesen werden müssen.</w:t>
      </w:r>
    </w:p>
    <w:p>
      <w:pPr>
        <w:pStyle w:val="Heading1"/>
      </w:pPr>
      <w:r>
        <w:t>2. Warum die SDGs für den Finanzmarkt relevant sind</w:t>
      </w:r>
    </w:p>
    <w:p>
      <w:r>
        <w:t>Finanzmärkte bewerten Zukunft. Genau deshalb sind SDGs finanzmarktrelevant: Sie beschreiben Bedingungen, ohne die zukünftige Zahlungsfähigkeit, Produktivität, Infrastruktur, politische Stabilität und Versicherbarkeit gefährdet werden können. Klimaschäden erhöhen Schadenskosten. Wasserstress gefährdet Produktion. Ungleichheit schwächt Nachfrage und politische Stabilität. Schwache Institutionen erhöhen Korruptions-, Rechts- und Investitionsrisiken.</w:t>
      </w:r>
    </w:p>
    <w:p>
      <w:r>
        <w:t>Der Finanzmarkt interessiert sich für diese Themen nicht nur aus moralischen Gründen, sondern weil sie Risiken und Chancen strukturieren. Investoren, Banken und Versicherungen brauchen Informationen darüber, ob ein Geschäftsmodell dauerhaft tragfähig ist oder ob es durch Regulierung, physische Schäden, Marktveränderungen, Lieferkettenbrüche, Reputationsverluste oder Haftungsrisiken unter Druck gerät.</w:t>
      </w:r>
    </w:p>
    <w:p>
      <w:r>
        <w:t>Die Wirkungsökonomie geht einen Schritt weiter: Wenn diese Risiken real sind, dürfen sie nicht nur in Risikomodellen auftauchen. Sie müssen in die Anreizstruktur zurückwirken: in Zinsen, Versicherungskonditionen, Steuern, Produktpreise, Beschaffung, Wirkungsfonds und öffentliche Haushalte.</w:t>
      </w:r>
    </w:p>
    <w:p>
      <w:pPr>
        <w:pStyle w:val="Heading1"/>
      </w:pPr>
      <w:r>
        <w:t>3. SDGs als Risikokarte statt als Ideologie</w:t>
      </w:r>
    </w:p>
    <w:p>
      <w:r>
        <w:t>Die Behauptung, die SDGs seien „grüne Ideologie“, unterschlägt ihren systemischen Charakter. Viele SDG-Felder sind schlicht Risikofelder: Armut, Hunger, Gesundheit, Bildung, Wasser, Energie, Klima, Infrastruktur, Städte, Konsum, Biodiversität, Frieden und Institutionen. Wenn diese Felder destabilisiert werden, entstehen reale Kosten.</w:t>
      </w:r>
    </w:p>
    <w:p>
      <w:r>
        <w:t>Das heißt nicht, dass die SDGs unpolitisch oder wertfrei wären. Sie sind normativ. Aber ihre normative Grundlage ist breit: Sie benennt Mindestbedingungen für ein stabiles Zusammenleben auf einem begrenzten Planeten. Die Auseinandersetzung ist nicht, ob diese Bedingungen relevant sind, sondern wie sie demokratisch, sozial und wirtschaftlich umgesetzt werden.</w:t>
      </w:r>
    </w:p>
    <w:p>
      <w:r>
        <w:t>Für Unternehmen und Finanzakteure ist diese Einordnung wichtig. SDGs sind kein PR-Bild. Sie sind eine strukturierte Karte von Zuständen, deren Verschlechterung Kosten und Risiken erzeugt und deren Verbesserung Resilienz, Innovation und Zukunftsfähigkeit stärken kann.</w:t>
      </w:r>
    </w:p>
    <w:p>
      <w:pPr>
        <w:pStyle w:val="WOEKQuote"/>
      </w:pPr>
      <w:r>
        <w:t>Die SDGs sind kein Parteifarben-Set. Sie sind eine Risikokarte für eine vernetzte Welt.</w:t>
      </w:r>
    </w:p>
    <w:p>
      <w:pPr>
        <w:pStyle w:val="Heading1"/>
      </w:pPr>
      <w:r>
        <w:t>4. Die 17 Ziele als strukturierte Risikofelder</w:t>
      </w:r>
    </w:p>
    <w:p>
      <w:r>
        <w:t>Jedes SDG kann als Wirkungs- und Risikofeld gelesen werden. Diese Lesart macht die SDGs für Banken, Versicherungen, Investoren und Unternehmen anschlussfähig. Sie zeigt auch, warum die SDGs nicht beliebig sind: Sie adressieren Zustandsgrößen, die wirtschaftliche Systeme stabilisieren oder destabilisieren können.</w:t>
      </w:r>
    </w:p>
    <w:tbl>
      <w:tblPr>
        <w:tblStyle w:val="TableGrid"/>
        <w:tblW w:type="auto" w:w="0"/>
        <w:jc w:val="center"/>
        <w:tblLook w:firstColumn="1" w:firstRow="1" w:lastColumn="0" w:lastRow="0" w:noHBand="0" w:noVBand="1" w:val="04A0"/>
      </w:tblPr>
      <w:tblGrid>
        <w:gridCol w:w="2493"/>
        <w:gridCol w:w="2493"/>
        <w:gridCol w:w="2493"/>
        <w:gridCol w:w="2493"/>
      </w:tblGrid>
      <w:tr>
        <w:tc>
          <w:tcPr>
            <w:tcW w:type="dxa" w:w="1701"/>
            <w:vAlign w:val="top"/>
            <w:shd w:fill="F3EFE6"/>
          </w:tcPr>
          <w:p>
            <w:pPr>
              <w:spacing w:after="0"/>
            </w:pPr>
            <w:r/>
            <w:r>
              <w:rPr>
                <w:rFonts w:ascii="Liberation Sans" w:hAnsi="Liberation Sans"/>
                <w:b/>
                <w:color w:val="080120"/>
                <w:sz w:val="16"/>
              </w:rPr>
              <w:t>SDG-Gruppe</w:t>
            </w:r>
          </w:p>
        </w:tc>
        <w:tc>
          <w:tcPr>
            <w:tcW w:type="dxa" w:w="2381"/>
            <w:vAlign w:val="top"/>
            <w:shd w:fill="F3EFE6"/>
          </w:tcPr>
          <w:p>
            <w:pPr>
              <w:spacing w:after="0"/>
            </w:pPr>
            <w:r/>
            <w:r>
              <w:rPr>
                <w:rFonts w:ascii="Liberation Sans" w:hAnsi="Liberation Sans"/>
                <w:b/>
                <w:color w:val="080120"/>
                <w:sz w:val="16"/>
              </w:rPr>
              <w:t>Risikotyp</w:t>
            </w:r>
          </w:p>
        </w:tc>
        <w:tc>
          <w:tcPr>
            <w:tcW w:type="dxa" w:w="2948"/>
            <w:vAlign w:val="top"/>
            <w:shd w:fill="F3EFE6"/>
          </w:tcPr>
          <w:p>
            <w:pPr>
              <w:spacing w:after="0"/>
            </w:pPr>
            <w:r/>
            <w:r>
              <w:rPr>
                <w:rFonts w:ascii="Liberation Sans" w:hAnsi="Liberation Sans"/>
                <w:b/>
                <w:color w:val="080120"/>
                <w:sz w:val="16"/>
              </w:rPr>
              <w:t>Finanzmarktbezug</w:t>
            </w:r>
          </w:p>
        </w:tc>
        <w:tc>
          <w:tcPr>
            <w:tcW w:type="dxa" w:w="2438"/>
            <w:vAlign w:val="top"/>
            <w:shd w:fill="F3EFE6"/>
          </w:tcPr>
          <w:p>
            <w:pPr>
              <w:spacing w:after="0"/>
            </w:pPr>
            <w:r/>
            <w:r>
              <w:rPr>
                <w:rFonts w:ascii="Liberation Sans" w:hAnsi="Liberation Sans"/>
                <w:b/>
                <w:color w:val="080120"/>
                <w:sz w:val="16"/>
              </w:rPr>
              <w:t>WÖk-Bezug</w:t>
            </w:r>
          </w:p>
        </w:tc>
      </w:tr>
      <w:tr>
        <w:tc>
          <w:tcPr>
            <w:tcW w:type="dxa" w:w="1701"/>
            <w:vAlign w:val="top"/>
          </w:tcPr>
          <w:p>
            <w:pPr>
              <w:spacing w:after="0"/>
            </w:pPr>
            <w:r/>
            <w:r>
              <w:rPr>
                <w:rFonts w:ascii="Liberation Sans" w:hAnsi="Liberation Sans"/>
                <w:b w:val="0"/>
                <w:color w:val="42404C"/>
                <w:sz w:val="16"/>
              </w:rPr>
              <w:t>SDG 1-5</w:t>
            </w:r>
          </w:p>
        </w:tc>
        <w:tc>
          <w:tcPr>
            <w:tcW w:type="dxa" w:w="2381"/>
            <w:vAlign w:val="top"/>
          </w:tcPr>
          <w:p>
            <w:pPr>
              <w:spacing w:after="0"/>
            </w:pPr>
            <w:r/>
            <w:r>
              <w:rPr>
                <w:rFonts w:ascii="Liberation Sans" w:hAnsi="Liberation Sans"/>
                <w:b w:val="0"/>
                <w:color w:val="42404C"/>
                <w:sz w:val="16"/>
              </w:rPr>
              <w:t>Soziale Stabilität, Gesundheit, Bildung, Gleichstellung</w:t>
            </w:r>
          </w:p>
        </w:tc>
        <w:tc>
          <w:tcPr>
            <w:tcW w:type="dxa" w:w="2948"/>
            <w:vAlign w:val="top"/>
          </w:tcPr>
          <w:p>
            <w:pPr>
              <w:spacing w:after="0"/>
            </w:pPr>
            <w:r/>
            <w:r>
              <w:rPr>
                <w:rFonts w:ascii="Liberation Sans" w:hAnsi="Liberation Sans"/>
                <w:b w:val="0"/>
                <w:color w:val="42404C"/>
                <w:sz w:val="16"/>
              </w:rPr>
              <w:t>Arbeitskräfte, Nachfrage, Produktivität, gesellschaftliche Akzeptanz</w:t>
            </w:r>
          </w:p>
        </w:tc>
        <w:tc>
          <w:tcPr>
            <w:tcW w:type="dxa" w:w="2438"/>
            <w:vAlign w:val="top"/>
          </w:tcPr>
          <w:p>
            <w:pPr>
              <w:spacing w:after="0"/>
            </w:pPr>
            <w:r/>
            <w:r>
              <w:rPr>
                <w:rFonts w:ascii="Liberation Sans" w:hAnsi="Liberation Sans"/>
                <w:b w:val="0"/>
                <w:color w:val="42404C"/>
                <w:sz w:val="16"/>
              </w:rPr>
              <w:t>Mensch-Dimension und Teilhabe</w:t>
            </w:r>
          </w:p>
        </w:tc>
      </w:tr>
      <w:tr>
        <w:tc>
          <w:tcPr>
            <w:tcW w:type="dxa" w:w="1701"/>
            <w:vAlign w:val="top"/>
          </w:tcPr>
          <w:p>
            <w:pPr>
              <w:spacing w:after="0"/>
            </w:pPr>
            <w:r/>
            <w:r>
              <w:rPr>
                <w:rFonts w:ascii="Liberation Sans" w:hAnsi="Liberation Sans"/>
                <w:b w:val="0"/>
                <w:color w:val="42404C"/>
                <w:sz w:val="16"/>
              </w:rPr>
              <w:t>SDG 6-7</w:t>
            </w:r>
          </w:p>
        </w:tc>
        <w:tc>
          <w:tcPr>
            <w:tcW w:type="dxa" w:w="2381"/>
            <w:vAlign w:val="top"/>
          </w:tcPr>
          <w:p>
            <w:pPr>
              <w:spacing w:after="0"/>
            </w:pPr>
            <w:r/>
            <w:r>
              <w:rPr>
                <w:rFonts w:ascii="Liberation Sans" w:hAnsi="Liberation Sans"/>
                <w:b w:val="0"/>
                <w:color w:val="42404C"/>
                <w:sz w:val="16"/>
              </w:rPr>
              <w:t>Wasser, Energie, Versorgung</w:t>
            </w:r>
          </w:p>
        </w:tc>
        <w:tc>
          <w:tcPr>
            <w:tcW w:type="dxa" w:w="2948"/>
            <w:vAlign w:val="top"/>
          </w:tcPr>
          <w:p>
            <w:pPr>
              <w:spacing w:after="0"/>
            </w:pPr>
            <w:r/>
            <w:r>
              <w:rPr>
                <w:rFonts w:ascii="Liberation Sans" w:hAnsi="Liberation Sans"/>
                <w:b w:val="0"/>
                <w:color w:val="42404C"/>
                <w:sz w:val="16"/>
              </w:rPr>
              <w:t>Produktionssicherheit, Standortwahl, Kosten, Versorgungsrisiko</w:t>
            </w:r>
          </w:p>
        </w:tc>
        <w:tc>
          <w:tcPr>
            <w:tcW w:type="dxa" w:w="2438"/>
            <w:vAlign w:val="top"/>
          </w:tcPr>
          <w:p>
            <w:pPr>
              <w:spacing w:after="0"/>
            </w:pPr>
            <w:r/>
            <w:r>
              <w:rPr>
                <w:rFonts w:ascii="Liberation Sans" w:hAnsi="Liberation Sans"/>
                <w:b w:val="0"/>
                <w:color w:val="42404C"/>
                <w:sz w:val="16"/>
              </w:rPr>
              <w:t>Infrastruktur- und Ressourcenwirkung</w:t>
            </w:r>
          </w:p>
        </w:tc>
      </w:tr>
      <w:tr>
        <w:tc>
          <w:tcPr>
            <w:tcW w:type="dxa" w:w="1701"/>
            <w:vAlign w:val="top"/>
          </w:tcPr>
          <w:p>
            <w:pPr>
              <w:spacing w:after="0"/>
            </w:pPr>
            <w:r/>
            <w:r>
              <w:rPr>
                <w:rFonts w:ascii="Liberation Sans" w:hAnsi="Liberation Sans"/>
                <w:b w:val="0"/>
                <w:color w:val="42404C"/>
                <w:sz w:val="16"/>
              </w:rPr>
              <w:t>SDG 8-12</w:t>
            </w:r>
          </w:p>
        </w:tc>
        <w:tc>
          <w:tcPr>
            <w:tcW w:type="dxa" w:w="2381"/>
            <w:vAlign w:val="top"/>
          </w:tcPr>
          <w:p>
            <w:pPr>
              <w:spacing w:after="0"/>
            </w:pPr>
            <w:r/>
            <w:r>
              <w:rPr>
                <w:rFonts w:ascii="Liberation Sans" w:hAnsi="Liberation Sans"/>
                <w:b w:val="0"/>
                <w:color w:val="42404C"/>
                <w:sz w:val="16"/>
              </w:rPr>
              <w:t>Arbeit, Wirtschaft, Innovation, Ungleichheit, Konsum/Produktion</w:t>
            </w:r>
          </w:p>
        </w:tc>
        <w:tc>
          <w:tcPr>
            <w:tcW w:type="dxa" w:w="2948"/>
            <w:vAlign w:val="top"/>
          </w:tcPr>
          <w:p>
            <w:pPr>
              <w:spacing w:after="0"/>
            </w:pPr>
            <w:r/>
            <w:r>
              <w:rPr>
                <w:rFonts w:ascii="Liberation Sans" w:hAnsi="Liberation Sans"/>
                <w:b w:val="0"/>
                <w:color w:val="42404C"/>
                <w:sz w:val="16"/>
              </w:rPr>
              <w:t>Lieferketten, Produktivität, Kreisläufe, Geschäftsmodellrisiko</w:t>
            </w:r>
          </w:p>
        </w:tc>
        <w:tc>
          <w:tcPr>
            <w:tcW w:type="dxa" w:w="2438"/>
            <w:vAlign w:val="top"/>
          </w:tcPr>
          <w:p>
            <w:pPr>
              <w:spacing w:after="0"/>
            </w:pPr>
            <w:r/>
            <w:r>
              <w:rPr>
                <w:rFonts w:ascii="Liberation Sans" w:hAnsi="Liberation Sans"/>
                <w:b w:val="0"/>
                <w:color w:val="42404C"/>
                <w:sz w:val="16"/>
              </w:rPr>
              <w:t>Produkte, Unternehmen, Preisrückkopplung</w:t>
            </w:r>
          </w:p>
        </w:tc>
      </w:tr>
      <w:tr>
        <w:tc>
          <w:tcPr>
            <w:tcW w:type="dxa" w:w="1701"/>
            <w:vAlign w:val="top"/>
          </w:tcPr>
          <w:p>
            <w:pPr>
              <w:spacing w:after="0"/>
            </w:pPr>
            <w:r/>
            <w:r>
              <w:rPr>
                <w:rFonts w:ascii="Liberation Sans" w:hAnsi="Liberation Sans"/>
                <w:b w:val="0"/>
                <w:color w:val="42404C"/>
                <w:sz w:val="16"/>
              </w:rPr>
              <w:t>SDG 13-15</w:t>
            </w:r>
          </w:p>
        </w:tc>
        <w:tc>
          <w:tcPr>
            <w:tcW w:type="dxa" w:w="2381"/>
            <w:vAlign w:val="top"/>
          </w:tcPr>
          <w:p>
            <w:pPr>
              <w:spacing w:after="0"/>
            </w:pPr>
            <w:r/>
            <w:r>
              <w:rPr>
                <w:rFonts w:ascii="Liberation Sans" w:hAnsi="Liberation Sans"/>
                <w:b w:val="0"/>
                <w:color w:val="42404C"/>
                <w:sz w:val="16"/>
              </w:rPr>
              <w:t>Klima, Ozeane, Land, Biodiversität</w:t>
            </w:r>
          </w:p>
        </w:tc>
        <w:tc>
          <w:tcPr>
            <w:tcW w:type="dxa" w:w="2948"/>
            <w:vAlign w:val="top"/>
          </w:tcPr>
          <w:p>
            <w:pPr>
              <w:spacing w:after="0"/>
            </w:pPr>
            <w:r/>
            <w:r>
              <w:rPr>
                <w:rFonts w:ascii="Liberation Sans" w:hAnsi="Liberation Sans"/>
                <w:b w:val="0"/>
                <w:color w:val="42404C"/>
                <w:sz w:val="16"/>
              </w:rPr>
              <w:t>Physische Risiken, Transition, Versicherung, Rohstoffe</w:t>
            </w:r>
          </w:p>
        </w:tc>
        <w:tc>
          <w:tcPr>
            <w:tcW w:type="dxa" w:w="2438"/>
            <w:vAlign w:val="top"/>
          </w:tcPr>
          <w:p>
            <w:pPr>
              <w:spacing w:after="0"/>
            </w:pPr>
            <w:r/>
            <w:r>
              <w:rPr>
                <w:rFonts w:ascii="Liberation Sans" w:hAnsi="Liberation Sans"/>
                <w:b w:val="0"/>
                <w:color w:val="42404C"/>
                <w:sz w:val="16"/>
              </w:rPr>
              <w:t>Planetare Grenzen und Regeneration</w:t>
            </w:r>
          </w:p>
        </w:tc>
      </w:tr>
      <w:tr>
        <w:tc>
          <w:tcPr>
            <w:tcW w:type="dxa" w:w="1701"/>
            <w:vAlign w:val="top"/>
          </w:tcPr>
          <w:p>
            <w:pPr>
              <w:spacing w:after="0"/>
            </w:pPr>
            <w:r/>
            <w:r>
              <w:rPr>
                <w:rFonts w:ascii="Liberation Sans" w:hAnsi="Liberation Sans"/>
                <w:b w:val="0"/>
                <w:color w:val="42404C"/>
                <w:sz w:val="16"/>
              </w:rPr>
              <w:t>SDG 16-17</w:t>
            </w:r>
          </w:p>
        </w:tc>
        <w:tc>
          <w:tcPr>
            <w:tcW w:type="dxa" w:w="2381"/>
            <w:vAlign w:val="top"/>
          </w:tcPr>
          <w:p>
            <w:pPr>
              <w:spacing w:after="0"/>
            </w:pPr>
            <w:r/>
            <w:r>
              <w:rPr>
                <w:rFonts w:ascii="Liberation Sans" w:hAnsi="Liberation Sans"/>
                <w:b w:val="0"/>
                <w:color w:val="42404C"/>
                <w:sz w:val="16"/>
              </w:rPr>
              <w:t>Institutionen, Frieden, Partnerschaften</w:t>
            </w:r>
          </w:p>
        </w:tc>
        <w:tc>
          <w:tcPr>
            <w:tcW w:type="dxa" w:w="2948"/>
            <w:vAlign w:val="top"/>
          </w:tcPr>
          <w:p>
            <w:pPr>
              <w:spacing w:after="0"/>
            </w:pPr>
            <w:r/>
            <w:r>
              <w:rPr>
                <w:rFonts w:ascii="Liberation Sans" w:hAnsi="Liberation Sans"/>
                <w:b w:val="0"/>
                <w:color w:val="42404C"/>
                <w:sz w:val="16"/>
              </w:rPr>
              <w:t>Rechtsrisiko, Korruption, politische Stabilität, Kooperation</w:t>
            </w:r>
          </w:p>
        </w:tc>
        <w:tc>
          <w:tcPr>
            <w:tcW w:type="dxa" w:w="2438"/>
            <w:vAlign w:val="top"/>
          </w:tcPr>
          <w:p>
            <w:pPr>
              <w:spacing w:after="0"/>
            </w:pPr>
            <w:r/>
            <w:r>
              <w:rPr>
                <w:rFonts w:ascii="Liberation Sans" w:hAnsi="Liberation Sans"/>
                <w:b w:val="0"/>
                <w:color w:val="42404C"/>
                <w:sz w:val="16"/>
              </w:rPr>
              <w:t>Demokratie, Governance und SDG+</w:t>
            </w:r>
          </w:p>
        </w:tc>
      </w:tr>
    </w:tbl>
    <w:p/>
    <w:p>
      <w:pPr>
        <w:pStyle w:val="Heading1"/>
      </w:pPr>
      <w:r>
        <w:t>5. Finanzielle Übertragungskanäle: Kredit, Kapital, Versicherung, Bewertung</w:t>
      </w:r>
    </w:p>
    <w:p>
      <w:r>
        <w:t>Nachhaltigkeits- und SDG-Risiken wirken über mehrere finanzielle Kanäle. Ein Unternehmen kann eine gute Gewinn- und Verlustrechnung haben und zugleich langfristig riskant sein, wenn es stark von fossiler Energie, instabilen Lieferketten, Wasserstress, politischen Konflikten, problematischen Arbeitsbedingungen oder nicht versicherbaren Standorten abhängig ist.</w:t>
      </w:r>
    </w:p>
    <w:p>
      <w:r>
        <w:t>Der Finanzmarkt übersetzt diese Risiken in konkrete Fragen: Wird der Kredit teurer? Wird eine Immobilie oder Anlage zum Stranded Asset? Wird eine Lieferkette unterbrochen? Wird Versicherungsschutz eingeschränkt? Ändern sich Regulierung oder Kundenanforderungen? Wird Kapital abgezogen? Sinkt die Bewertung?</w:t>
      </w:r>
    </w:p>
    <w:tbl>
      <w:tblPr>
        <w:tblStyle w:val="TableGrid"/>
        <w:tblW w:type="auto" w:w="0"/>
        <w:jc w:val="center"/>
        <w:tblLook w:firstColumn="1" w:firstRow="1" w:lastColumn="0" w:lastRow="0" w:noHBand="0" w:noVBand="1" w:val="04A0"/>
      </w:tblPr>
      <w:tblGrid>
        <w:gridCol w:w="3324"/>
        <w:gridCol w:w="3324"/>
        <w:gridCol w:w="3324"/>
      </w:tblGrid>
      <w:tr>
        <w:tc>
          <w:tcPr>
            <w:tcW w:type="dxa" w:w="1814"/>
            <w:vAlign w:val="top"/>
            <w:shd w:fill="F3EFE6"/>
          </w:tcPr>
          <w:p>
            <w:pPr>
              <w:spacing w:after="0"/>
            </w:pPr>
            <w:r/>
            <w:r>
              <w:rPr>
                <w:rFonts w:ascii="Liberation Sans" w:hAnsi="Liberation Sans"/>
                <w:b/>
                <w:color w:val="080120"/>
                <w:sz w:val="17"/>
              </w:rPr>
              <w:t>Kanal</w:t>
            </w:r>
          </w:p>
        </w:tc>
        <w:tc>
          <w:tcPr>
            <w:tcW w:type="dxa" w:w="3402"/>
            <w:vAlign w:val="top"/>
            <w:shd w:fill="F3EFE6"/>
          </w:tcPr>
          <w:p>
            <w:pPr>
              <w:spacing w:after="0"/>
            </w:pPr>
            <w:r/>
            <w:r>
              <w:rPr>
                <w:rFonts w:ascii="Liberation Sans" w:hAnsi="Liberation Sans"/>
                <w:b/>
                <w:color w:val="080120"/>
                <w:sz w:val="17"/>
              </w:rPr>
              <w:t>Typische Frage</w:t>
            </w:r>
          </w:p>
        </w:tc>
        <w:tc>
          <w:tcPr>
            <w:tcW w:type="dxa" w:w="3515"/>
            <w:vAlign w:val="top"/>
            <w:shd w:fill="F3EFE6"/>
          </w:tcPr>
          <w:p>
            <w:pPr>
              <w:spacing w:after="0"/>
            </w:pPr>
            <w:r/>
            <w:r>
              <w:rPr>
                <w:rFonts w:ascii="Liberation Sans" w:hAnsi="Liberation Sans"/>
                <w:b/>
                <w:color w:val="080120"/>
                <w:sz w:val="17"/>
              </w:rPr>
              <w:t>SDG-/WÖk-Relevanz</w:t>
            </w:r>
          </w:p>
        </w:tc>
      </w:tr>
      <w:tr>
        <w:tc>
          <w:tcPr>
            <w:tcW w:type="dxa" w:w="1814"/>
            <w:vAlign w:val="top"/>
          </w:tcPr>
          <w:p>
            <w:pPr>
              <w:spacing w:after="0"/>
            </w:pPr>
            <w:r/>
            <w:r>
              <w:rPr>
                <w:rFonts w:ascii="Liberation Sans" w:hAnsi="Liberation Sans"/>
                <w:b w:val="0"/>
                <w:color w:val="42404C"/>
                <w:sz w:val="17"/>
              </w:rPr>
              <w:t>Kredit</w:t>
            </w:r>
          </w:p>
        </w:tc>
        <w:tc>
          <w:tcPr>
            <w:tcW w:type="dxa" w:w="3402"/>
            <w:vAlign w:val="top"/>
          </w:tcPr>
          <w:p>
            <w:pPr>
              <w:spacing w:after="0"/>
            </w:pPr>
            <w:r/>
            <w:r>
              <w:rPr>
                <w:rFonts w:ascii="Liberation Sans" w:hAnsi="Liberation Sans"/>
                <w:b w:val="0"/>
                <w:color w:val="42404C"/>
                <w:sz w:val="17"/>
              </w:rPr>
              <w:t>Bleibt das Geschäftsmodell zahlungsfähig?</w:t>
            </w:r>
          </w:p>
        </w:tc>
        <w:tc>
          <w:tcPr>
            <w:tcW w:type="dxa" w:w="3515"/>
            <w:vAlign w:val="top"/>
          </w:tcPr>
          <w:p>
            <w:pPr>
              <w:spacing w:after="0"/>
            </w:pPr>
            <w:r/>
            <w:r>
              <w:rPr>
                <w:rFonts w:ascii="Liberation Sans" w:hAnsi="Liberation Sans"/>
                <w:b w:val="0"/>
                <w:color w:val="42404C"/>
                <w:sz w:val="17"/>
              </w:rPr>
              <w:t>ESG-/SDG-Risiken beeinflussen Bonität und Covenants</w:t>
            </w:r>
          </w:p>
        </w:tc>
      </w:tr>
      <w:tr>
        <w:tc>
          <w:tcPr>
            <w:tcW w:type="dxa" w:w="1814"/>
            <w:vAlign w:val="top"/>
          </w:tcPr>
          <w:p>
            <w:pPr>
              <w:spacing w:after="0"/>
            </w:pPr>
            <w:r/>
            <w:r>
              <w:rPr>
                <w:rFonts w:ascii="Liberation Sans" w:hAnsi="Liberation Sans"/>
                <w:b w:val="0"/>
                <w:color w:val="42404C"/>
                <w:sz w:val="17"/>
              </w:rPr>
              <w:t>Eigenkapital</w:t>
            </w:r>
          </w:p>
        </w:tc>
        <w:tc>
          <w:tcPr>
            <w:tcW w:type="dxa" w:w="3402"/>
            <w:vAlign w:val="top"/>
          </w:tcPr>
          <w:p>
            <w:pPr>
              <w:spacing w:after="0"/>
            </w:pPr>
            <w:r/>
            <w:r>
              <w:rPr>
                <w:rFonts w:ascii="Liberation Sans" w:hAnsi="Liberation Sans"/>
                <w:b w:val="0"/>
                <w:color w:val="42404C"/>
                <w:sz w:val="17"/>
              </w:rPr>
              <w:t>Ist das Geschäftsmodell zukunftsfähig?</w:t>
            </w:r>
          </w:p>
        </w:tc>
        <w:tc>
          <w:tcPr>
            <w:tcW w:type="dxa" w:w="3515"/>
            <w:vAlign w:val="top"/>
          </w:tcPr>
          <w:p>
            <w:pPr>
              <w:spacing w:after="0"/>
            </w:pPr>
            <w:r/>
            <w:r>
              <w:rPr>
                <w:rFonts w:ascii="Liberation Sans" w:hAnsi="Liberation Sans"/>
                <w:b w:val="0"/>
                <w:color w:val="42404C"/>
                <w:sz w:val="17"/>
              </w:rPr>
              <w:t>Investoren bewerten Transition, Governance und Wirkung</w:t>
            </w:r>
          </w:p>
        </w:tc>
      </w:tr>
      <w:tr>
        <w:tc>
          <w:tcPr>
            <w:tcW w:type="dxa" w:w="1814"/>
            <w:vAlign w:val="top"/>
          </w:tcPr>
          <w:p>
            <w:pPr>
              <w:spacing w:after="0"/>
            </w:pPr>
            <w:r/>
            <w:r>
              <w:rPr>
                <w:rFonts w:ascii="Liberation Sans" w:hAnsi="Liberation Sans"/>
                <w:b w:val="0"/>
                <w:color w:val="42404C"/>
                <w:sz w:val="17"/>
              </w:rPr>
              <w:t>Versicherung</w:t>
            </w:r>
          </w:p>
        </w:tc>
        <w:tc>
          <w:tcPr>
            <w:tcW w:type="dxa" w:w="3402"/>
            <w:vAlign w:val="top"/>
          </w:tcPr>
          <w:p>
            <w:pPr>
              <w:spacing w:after="0"/>
            </w:pPr>
            <w:r/>
            <w:r>
              <w:rPr>
                <w:rFonts w:ascii="Liberation Sans" w:hAnsi="Liberation Sans"/>
                <w:b w:val="0"/>
                <w:color w:val="42404C"/>
                <w:sz w:val="17"/>
              </w:rPr>
              <w:t>Ist das Risiko noch versicherbar?</w:t>
            </w:r>
          </w:p>
        </w:tc>
        <w:tc>
          <w:tcPr>
            <w:tcW w:type="dxa" w:w="3515"/>
            <w:vAlign w:val="top"/>
          </w:tcPr>
          <w:p>
            <w:pPr>
              <w:spacing w:after="0"/>
            </w:pPr>
            <w:r/>
            <w:r>
              <w:rPr>
                <w:rFonts w:ascii="Liberation Sans" w:hAnsi="Liberation Sans"/>
                <w:b w:val="0"/>
                <w:color w:val="42404C"/>
                <w:sz w:val="17"/>
              </w:rPr>
              <w:t>Klima, Naturgefahren, Haftung, Prävention</w:t>
            </w:r>
          </w:p>
        </w:tc>
      </w:tr>
      <w:tr>
        <w:tc>
          <w:tcPr>
            <w:tcW w:type="dxa" w:w="1814"/>
            <w:vAlign w:val="top"/>
          </w:tcPr>
          <w:p>
            <w:pPr>
              <w:spacing w:after="0"/>
            </w:pPr>
            <w:r/>
            <w:r>
              <w:rPr>
                <w:rFonts w:ascii="Liberation Sans" w:hAnsi="Liberation Sans"/>
                <w:b w:val="0"/>
                <w:color w:val="42404C"/>
                <w:sz w:val="17"/>
              </w:rPr>
              <w:t>Beschaffung</w:t>
            </w:r>
          </w:p>
        </w:tc>
        <w:tc>
          <w:tcPr>
            <w:tcW w:type="dxa" w:w="3402"/>
            <w:vAlign w:val="top"/>
          </w:tcPr>
          <w:p>
            <w:pPr>
              <w:spacing w:after="0"/>
            </w:pPr>
            <w:r/>
            <w:r>
              <w:rPr>
                <w:rFonts w:ascii="Liberation Sans" w:hAnsi="Liberation Sans"/>
                <w:b w:val="0"/>
                <w:color w:val="42404C"/>
                <w:sz w:val="17"/>
              </w:rPr>
              <w:t>Erfüllt das Unternehmen Kunden- und Lieferkettenanforderungen?</w:t>
            </w:r>
          </w:p>
        </w:tc>
        <w:tc>
          <w:tcPr>
            <w:tcW w:type="dxa" w:w="3515"/>
            <w:vAlign w:val="top"/>
          </w:tcPr>
          <w:p>
            <w:pPr>
              <w:spacing w:after="0"/>
            </w:pPr>
            <w:r/>
            <w:r>
              <w:rPr>
                <w:rFonts w:ascii="Liberation Sans" w:hAnsi="Liberation Sans"/>
                <w:b w:val="0"/>
                <w:color w:val="42404C"/>
                <w:sz w:val="17"/>
              </w:rPr>
              <w:t>CSRD-/ESRS-Daten, Due Diligence, Produktpässe</w:t>
            </w:r>
          </w:p>
        </w:tc>
      </w:tr>
      <w:tr>
        <w:tc>
          <w:tcPr>
            <w:tcW w:type="dxa" w:w="1814"/>
            <w:vAlign w:val="top"/>
          </w:tcPr>
          <w:p>
            <w:pPr>
              <w:spacing w:after="0"/>
            </w:pPr>
            <w:r/>
            <w:r>
              <w:rPr>
                <w:rFonts w:ascii="Liberation Sans" w:hAnsi="Liberation Sans"/>
                <w:b w:val="0"/>
                <w:color w:val="42404C"/>
                <w:sz w:val="17"/>
              </w:rPr>
              <w:t>Steuern und Förderung</w:t>
            </w:r>
          </w:p>
        </w:tc>
        <w:tc>
          <w:tcPr>
            <w:tcW w:type="dxa" w:w="3402"/>
            <w:vAlign w:val="top"/>
          </w:tcPr>
          <w:p>
            <w:pPr>
              <w:spacing w:after="0"/>
            </w:pPr>
            <w:r/>
            <w:r>
              <w:rPr>
                <w:rFonts w:ascii="Liberation Sans" w:hAnsi="Liberation Sans"/>
                <w:b w:val="0"/>
                <w:color w:val="42404C"/>
                <w:sz w:val="17"/>
              </w:rPr>
              <w:t>Welche Rückkopplung setzt der Staat?</w:t>
            </w:r>
          </w:p>
        </w:tc>
        <w:tc>
          <w:tcPr>
            <w:tcW w:type="dxa" w:w="3515"/>
            <w:vAlign w:val="top"/>
          </w:tcPr>
          <w:p>
            <w:pPr>
              <w:spacing w:after="0"/>
            </w:pPr>
            <w:r/>
            <w:r>
              <w:rPr>
                <w:rFonts w:ascii="Liberation Sans" w:hAnsi="Liberation Sans"/>
                <w:b w:val="0"/>
                <w:color w:val="42404C"/>
                <w:sz w:val="17"/>
              </w:rPr>
              <w:t>Wirkungssteuern, Wirkungsfonds, öffentliche Beschaffung</w:t>
            </w:r>
          </w:p>
        </w:tc>
      </w:tr>
      <w:tr>
        <w:tc>
          <w:tcPr>
            <w:tcW w:type="dxa" w:w="1814"/>
            <w:vAlign w:val="top"/>
          </w:tcPr>
          <w:p>
            <w:pPr>
              <w:spacing w:after="0"/>
            </w:pPr>
            <w:r/>
            <w:r>
              <w:rPr>
                <w:rFonts w:ascii="Liberation Sans" w:hAnsi="Liberation Sans"/>
                <w:b w:val="0"/>
                <w:color w:val="42404C"/>
                <w:sz w:val="17"/>
              </w:rPr>
              <w:t>Reputation und Markt</w:t>
            </w:r>
          </w:p>
        </w:tc>
        <w:tc>
          <w:tcPr>
            <w:tcW w:type="dxa" w:w="3402"/>
            <w:vAlign w:val="top"/>
          </w:tcPr>
          <w:p>
            <w:pPr>
              <w:spacing w:after="0"/>
            </w:pPr>
            <w:r/>
            <w:r>
              <w:rPr>
                <w:rFonts w:ascii="Liberation Sans" w:hAnsi="Liberation Sans"/>
                <w:b w:val="0"/>
                <w:color w:val="42404C"/>
                <w:sz w:val="17"/>
              </w:rPr>
              <w:t>Bleiben Vertrauen und Nachfrage stabil?</w:t>
            </w:r>
          </w:p>
        </w:tc>
        <w:tc>
          <w:tcPr>
            <w:tcW w:type="dxa" w:w="3515"/>
            <w:vAlign w:val="top"/>
          </w:tcPr>
          <w:p>
            <w:pPr>
              <w:spacing w:after="0"/>
            </w:pPr>
            <w:r/>
            <w:r>
              <w:rPr>
                <w:rFonts w:ascii="Liberation Sans" w:hAnsi="Liberation Sans"/>
                <w:b w:val="0"/>
                <w:color w:val="42404C"/>
                <w:sz w:val="17"/>
              </w:rPr>
              <w:t>Medienqualität, Transparenz, Verbraucherinformation</w:t>
            </w:r>
          </w:p>
        </w:tc>
      </w:tr>
    </w:tbl>
    <w:p/>
    <w:p>
      <w:pPr>
        <w:pStyle w:val="Heading1"/>
      </w:pPr>
      <w:r>
        <w:t>6. Heutige Regulierungs- und Marktanschlüsse</w:t>
      </w:r>
    </w:p>
    <w:p>
      <w:r>
        <w:t>Die heutige Finanzmarkt- und Berichtswelt hat bereits mehrere Anschlussstellen geschaffen. Sie sind nicht identisch mit der Wirkungsökonomie, aber sie liefern Daten, Governance-Logiken und Risikorahmen, an die die WÖk anschließen kann.</w:t>
      </w:r>
    </w:p>
    <w:p>
      <w:r>
        <w:t>TCFD strukturierte klimabezogene Finanzinformationen entlang von Governance, Strategie, Risikomanagement sowie Kennzahlen und Zielen. ISSB/IFRS Sustainability Disclosure Standards zielen auf eine globale Baseline investorennützlicher Nachhaltigkeitsinformationen. Die EU-Taxonomie definiert gemeinsame Kriterien für ökologisch nachhaltige wirtschaftliche Aktivitäten. Die CSRD verpflichtet betroffene Unternehmen zur Berichterstattung nach ESRS. Die EBA-Leitlinien verankern ESG-Risiken im Risikomanagement von Banken.</w:t>
      </w:r>
    </w:p>
    <w:p>
      <w:r>
        <w:t>Die WÖk-Lesart lautet: Diese Instrumente sind der Übergang von Nachhaltigkeitskommunikation zu Wirkungsdaten. Was heute vor allem für Reporting und Risikomanagement genutzt wird, kann künftig in Scorecards, WÖk-IDs, Wirkungssteuern, Wirkungsfonds und Kapitalrückkopplung übersetzt werden.</w:t>
      </w:r>
    </w:p>
    <w:tbl>
      <w:tblPr>
        <w:tblStyle w:val="TableGrid"/>
        <w:tblW w:type="auto" w:w="0"/>
        <w:jc w:val="center"/>
        <w:tblLook w:firstColumn="1" w:firstRow="1" w:lastColumn="0" w:lastRow="0" w:noHBand="0" w:noVBand="1" w:val="04A0"/>
      </w:tblPr>
      <w:tblGrid>
        <w:gridCol w:w="3324"/>
        <w:gridCol w:w="3324"/>
        <w:gridCol w:w="3324"/>
      </w:tblGrid>
      <w:tr>
        <w:tc>
          <w:tcPr>
            <w:tcW w:type="dxa" w:w="1814"/>
            <w:vAlign w:val="top"/>
            <w:shd w:fill="F3EFE6"/>
          </w:tcPr>
          <w:p>
            <w:pPr>
              <w:spacing w:after="0"/>
            </w:pPr>
            <w:r/>
            <w:r>
              <w:rPr>
                <w:rFonts w:ascii="Liberation Sans" w:hAnsi="Liberation Sans"/>
                <w:b/>
                <w:color w:val="080120"/>
                <w:sz w:val="16"/>
              </w:rPr>
              <w:t>Instrument</w:t>
            </w:r>
          </w:p>
        </w:tc>
        <w:tc>
          <w:tcPr>
            <w:tcW w:type="dxa" w:w="3515"/>
            <w:vAlign w:val="top"/>
            <w:shd w:fill="F3EFE6"/>
          </w:tcPr>
          <w:p>
            <w:pPr>
              <w:spacing w:after="0"/>
            </w:pPr>
            <w:r/>
            <w:r>
              <w:rPr>
                <w:rFonts w:ascii="Liberation Sans" w:hAnsi="Liberation Sans"/>
                <w:b/>
                <w:color w:val="080120"/>
                <w:sz w:val="16"/>
              </w:rPr>
              <w:t>Heutige Funktion</w:t>
            </w:r>
          </w:p>
        </w:tc>
        <w:tc>
          <w:tcPr>
            <w:tcW w:type="dxa" w:w="3515"/>
            <w:vAlign w:val="top"/>
            <w:shd w:fill="F3EFE6"/>
          </w:tcPr>
          <w:p>
            <w:pPr>
              <w:spacing w:after="0"/>
            </w:pPr>
            <w:r/>
            <w:r>
              <w:rPr>
                <w:rFonts w:ascii="Liberation Sans" w:hAnsi="Liberation Sans"/>
                <w:b/>
                <w:color w:val="080120"/>
                <w:sz w:val="16"/>
              </w:rPr>
              <w:t>WÖk-Anschluss</w:t>
            </w:r>
          </w:p>
        </w:tc>
      </w:tr>
      <w:tr>
        <w:tc>
          <w:tcPr>
            <w:tcW w:type="dxa" w:w="1814"/>
            <w:vAlign w:val="top"/>
          </w:tcPr>
          <w:p>
            <w:pPr>
              <w:spacing w:after="0"/>
            </w:pPr>
            <w:r/>
            <w:r>
              <w:rPr>
                <w:rFonts w:ascii="Liberation Sans" w:hAnsi="Liberation Sans"/>
                <w:b w:val="0"/>
                <w:color w:val="42404C"/>
                <w:sz w:val="16"/>
              </w:rPr>
              <w:t>TCFD</w:t>
            </w:r>
          </w:p>
        </w:tc>
        <w:tc>
          <w:tcPr>
            <w:tcW w:type="dxa" w:w="3515"/>
            <w:vAlign w:val="top"/>
          </w:tcPr>
          <w:p>
            <w:pPr>
              <w:spacing w:after="0"/>
            </w:pPr>
            <w:r/>
            <w:r>
              <w:rPr>
                <w:rFonts w:ascii="Liberation Sans" w:hAnsi="Liberation Sans"/>
                <w:b w:val="0"/>
                <w:color w:val="42404C"/>
                <w:sz w:val="16"/>
              </w:rPr>
              <w:t>Klimabezogene finanzielle Risiken und Chancen strukturieren</w:t>
            </w:r>
          </w:p>
        </w:tc>
        <w:tc>
          <w:tcPr>
            <w:tcW w:type="dxa" w:w="3515"/>
            <w:vAlign w:val="top"/>
          </w:tcPr>
          <w:p>
            <w:pPr>
              <w:spacing w:after="0"/>
            </w:pPr>
            <w:r/>
            <w:r>
              <w:rPr>
                <w:rFonts w:ascii="Liberation Sans" w:hAnsi="Liberation Sans"/>
                <w:b w:val="0"/>
                <w:color w:val="42404C"/>
                <w:sz w:val="16"/>
              </w:rPr>
              <w:t>Risiko- und Resilienzlogik in T-SROI/NWI integrieren</w:t>
            </w:r>
          </w:p>
        </w:tc>
      </w:tr>
      <w:tr>
        <w:tc>
          <w:tcPr>
            <w:tcW w:type="dxa" w:w="1814"/>
            <w:vAlign w:val="top"/>
          </w:tcPr>
          <w:p>
            <w:pPr>
              <w:spacing w:after="0"/>
            </w:pPr>
            <w:r/>
            <w:r>
              <w:rPr>
                <w:rFonts w:ascii="Liberation Sans" w:hAnsi="Liberation Sans"/>
                <w:b w:val="0"/>
                <w:color w:val="42404C"/>
                <w:sz w:val="16"/>
              </w:rPr>
              <w:t>ISSB / IFRS S1/S2</w:t>
            </w:r>
          </w:p>
        </w:tc>
        <w:tc>
          <w:tcPr>
            <w:tcW w:type="dxa" w:w="3515"/>
            <w:vAlign w:val="top"/>
          </w:tcPr>
          <w:p>
            <w:pPr>
              <w:spacing w:after="0"/>
            </w:pPr>
            <w:r/>
            <w:r>
              <w:rPr>
                <w:rFonts w:ascii="Liberation Sans" w:hAnsi="Liberation Sans"/>
                <w:b w:val="0"/>
                <w:color w:val="42404C"/>
                <w:sz w:val="16"/>
              </w:rPr>
              <w:t>Globale investorenzentrierte Nachhaltigkeitsangaben</w:t>
            </w:r>
          </w:p>
        </w:tc>
        <w:tc>
          <w:tcPr>
            <w:tcW w:type="dxa" w:w="3515"/>
            <w:vAlign w:val="top"/>
          </w:tcPr>
          <w:p>
            <w:pPr>
              <w:spacing w:after="0"/>
            </w:pPr>
            <w:r/>
            <w:r>
              <w:rPr>
                <w:rFonts w:ascii="Liberation Sans" w:hAnsi="Liberation Sans"/>
                <w:b w:val="0"/>
                <w:color w:val="42404C"/>
                <w:sz w:val="16"/>
              </w:rPr>
              <w:t>Vergleichbare Daten für Kapitalwirkung</w:t>
            </w:r>
          </w:p>
        </w:tc>
      </w:tr>
      <w:tr>
        <w:tc>
          <w:tcPr>
            <w:tcW w:type="dxa" w:w="1814"/>
            <w:vAlign w:val="top"/>
          </w:tcPr>
          <w:p>
            <w:pPr>
              <w:spacing w:after="0"/>
            </w:pPr>
            <w:r/>
            <w:r>
              <w:rPr>
                <w:rFonts w:ascii="Liberation Sans" w:hAnsi="Liberation Sans"/>
                <w:b w:val="0"/>
                <w:color w:val="42404C"/>
                <w:sz w:val="16"/>
              </w:rPr>
              <w:t>EU-Taxonomie</w:t>
            </w:r>
          </w:p>
        </w:tc>
        <w:tc>
          <w:tcPr>
            <w:tcW w:type="dxa" w:w="3515"/>
            <w:vAlign w:val="top"/>
          </w:tcPr>
          <w:p>
            <w:pPr>
              <w:spacing w:after="0"/>
            </w:pPr>
            <w:r/>
            <w:r>
              <w:rPr>
                <w:rFonts w:ascii="Liberation Sans" w:hAnsi="Liberation Sans"/>
                <w:b w:val="0"/>
                <w:color w:val="42404C"/>
                <w:sz w:val="16"/>
              </w:rPr>
              <w:t>Gemeinsame Definition ökologisch nachhaltiger Tätigkeiten</w:t>
            </w:r>
          </w:p>
        </w:tc>
        <w:tc>
          <w:tcPr>
            <w:tcW w:type="dxa" w:w="3515"/>
            <w:vAlign w:val="top"/>
          </w:tcPr>
          <w:p>
            <w:pPr>
              <w:spacing w:after="0"/>
            </w:pPr>
            <w:r/>
            <w:r>
              <w:rPr>
                <w:rFonts w:ascii="Liberation Sans" w:hAnsi="Liberation Sans"/>
                <w:b w:val="0"/>
                <w:color w:val="42404C"/>
                <w:sz w:val="16"/>
              </w:rPr>
              <w:t>Benchmark- und DNSH-Anschluss für Scorecards</w:t>
            </w:r>
          </w:p>
        </w:tc>
      </w:tr>
      <w:tr>
        <w:tc>
          <w:tcPr>
            <w:tcW w:type="dxa" w:w="1814"/>
            <w:vAlign w:val="top"/>
          </w:tcPr>
          <w:p>
            <w:pPr>
              <w:spacing w:after="0"/>
            </w:pPr>
            <w:r/>
            <w:r>
              <w:rPr>
                <w:rFonts w:ascii="Liberation Sans" w:hAnsi="Liberation Sans"/>
                <w:b w:val="0"/>
                <w:color w:val="42404C"/>
                <w:sz w:val="16"/>
              </w:rPr>
              <w:t>CSRD / ESRS</w:t>
            </w:r>
          </w:p>
        </w:tc>
        <w:tc>
          <w:tcPr>
            <w:tcW w:type="dxa" w:w="3515"/>
            <w:vAlign w:val="top"/>
          </w:tcPr>
          <w:p>
            <w:pPr>
              <w:spacing w:after="0"/>
            </w:pPr>
            <w:r/>
            <w:r>
              <w:rPr>
                <w:rFonts w:ascii="Liberation Sans" w:hAnsi="Liberation Sans"/>
                <w:b w:val="0"/>
                <w:color w:val="42404C"/>
                <w:sz w:val="16"/>
              </w:rPr>
              <w:t>Standardisierte Unternehmensberichterstattung</w:t>
            </w:r>
          </w:p>
        </w:tc>
        <w:tc>
          <w:tcPr>
            <w:tcW w:type="dxa" w:w="3515"/>
            <w:vAlign w:val="top"/>
          </w:tcPr>
          <w:p>
            <w:pPr>
              <w:spacing w:after="0"/>
            </w:pPr>
            <w:r/>
            <w:r>
              <w:rPr>
                <w:rFonts w:ascii="Liberation Sans" w:hAnsi="Liberation Sans"/>
                <w:b w:val="0"/>
                <w:color w:val="42404C"/>
                <w:sz w:val="16"/>
              </w:rPr>
              <w:t>Datenbasis für WÖk-IDs und Wirkungsdatenräume</w:t>
            </w:r>
          </w:p>
        </w:tc>
      </w:tr>
      <w:tr>
        <w:tc>
          <w:tcPr>
            <w:tcW w:type="dxa" w:w="1814"/>
            <w:vAlign w:val="top"/>
          </w:tcPr>
          <w:p>
            <w:pPr>
              <w:spacing w:after="0"/>
            </w:pPr>
            <w:r/>
            <w:r>
              <w:rPr>
                <w:rFonts w:ascii="Liberation Sans" w:hAnsi="Liberation Sans"/>
                <w:b w:val="0"/>
                <w:color w:val="42404C"/>
                <w:sz w:val="16"/>
              </w:rPr>
              <w:t>EBA ESG Risk Guidelines</w:t>
            </w:r>
          </w:p>
        </w:tc>
        <w:tc>
          <w:tcPr>
            <w:tcW w:type="dxa" w:w="3515"/>
            <w:vAlign w:val="top"/>
          </w:tcPr>
          <w:p>
            <w:pPr>
              <w:spacing w:after="0"/>
            </w:pPr>
            <w:r/>
            <w:r>
              <w:rPr>
                <w:rFonts w:ascii="Liberation Sans" w:hAnsi="Liberation Sans"/>
                <w:b w:val="0"/>
                <w:color w:val="42404C"/>
                <w:sz w:val="16"/>
              </w:rPr>
              <w:t>ESG-Risiken im Bankrisikomanagement</w:t>
            </w:r>
          </w:p>
        </w:tc>
        <w:tc>
          <w:tcPr>
            <w:tcW w:type="dxa" w:w="3515"/>
            <w:vAlign w:val="top"/>
          </w:tcPr>
          <w:p>
            <w:pPr>
              <w:spacing w:after="0"/>
            </w:pPr>
            <w:r/>
            <w:r>
              <w:rPr>
                <w:rFonts w:ascii="Liberation Sans" w:hAnsi="Liberation Sans"/>
                <w:b w:val="0"/>
                <w:color w:val="42404C"/>
                <w:sz w:val="16"/>
              </w:rPr>
              <w:t>Kreditzugang, Zinsen, Übergangspläne und KMU-Anfragen</w:t>
            </w:r>
          </w:p>
        </w:tc>
      </w:tr>
      <w:tr>
        <w:tc>
          <w:tcPr>
            <w:tcW w:type="dxa" w:w="1814"/>
            <w:vAlign w:val="top"/>
          </w:tcPr>
          <w:p>
            <w:pPr>
              <w:spacing w:after="0"/>
            </w:pPr>
            <w:r/>
            <w:r>
              <w:rPr>
                <w:rFonts w:ascii="Liberation Sans" w:hAnsi="Liberation Sans"/>
                <w:b w:val="0"/>
                <w:color w:val="42404C"/>
                <w:sz w:val="16"/>
              </w:rPr>
              <w:t>ESG-Ratings</w:t>
            </w:r>
          </w:p>
        </w:tc>
        <w:tc>
          <w:tcPr>
            <w:tcW w:type="dxa" w:w="3515"/>
            <w:vAlign w:val="top"/>
          </w:tcPr>
          <w:p>
            <w:pPr>
              <w:spacing w:after="0"/>
            </w:pPr>
            <w:r/>
            <w:r>
              <w:rPr>
                <w:rFonts w:ascii="Liberation Sans" w:hAnsi="Liberation Sans"/>
                <w:b w:val="0"/>
                <w:color w:val="42404C"/>
                <w:sz w:val="16"/>
              </w:rPr>
              <w:t>Externe Einschätzung von Nachhaltigkeits-/Governance-Profilen</w:t>
            </w:r>
          </w:p>
        </w:tc>
        <w:tc>
          <w:tcPr>
            <w:tcW w:type="dxa" w:w="3515"/>
            <w:vAlign w:val="top"/>
          </w:tcPr>
          <w:p>
            <w:pPr>
              <w:spacing w:after="0"/>
            </w:pPr>
            <w:r/>
            <w:r>
              <w:rPr>
                <w:rFonts w:ascii="Liberation Sans" w:hAnsi="Liberation Sans"/>
                <w:b w:val="0"/>
                <w:color w:val="42404C"/>
                <w:sz w:val="16"/>
              </w:rPr>
              <w:t>Datenquelle, aber kein Ersatz für Wirkungsbewertung</w:t>
            </w:r>
          </w:p>
        </w:tc>
      </w:tr>
    </w:tbl>
    <w:p/>
    <w:p>
      <w:pPr>
        <w:pStyle w:val="Heading1"/>
      </w:pPr>
      <w:r>
        <w:t>7. Banken: ESG-Risiken, Kreditprüfung und EBA-Anschluss</w:t>
      </w:r>
    </w:p>
    <w:p>
      <w:r>
        <w:t>Banken sind ein zentraler Übertragungspunkt. Wenn Banken ESG-Risiken im Risikomanagement berücksichtigen müssen, werden Unternehmen indirekt betroffen: durch Kreditprüfung, Reportinganforderungen, Sicherheitenbewertung, Übergangspläne, Branchenrisiken, Zinsaufschläge oder Finanzierungsbedingungen.</w:t>
      </w:r>
    </w:p>
    <w:p>
      <w:r>
        <w:t>Die EBA-Leitlinien zum Management von ESG-Risiken gelten ab dem 11. Januar 2026, für kleine und nicht komplexe Institute mit späterer Anwendung bis 2027. Damit wird Nachhaltigkeit im Bankensystem nicht nur kommunikativ, sondern aufsichtlich relevant.</w:t>
      </w:r>
    </w:p>
    <w:p>
      <w:r>
        <w:t>Wirkungsökonomisch ist entscheidend, diese Entwicklung nicht als Bürokratiezweck zu behandeln. Wenn Banken ohnehin Risiken abfragen, sollten Daten so standardisiert werden, dass Unternehmen sie nicht für jede Bank neu liefern müssen. WÖk-IDs, Scorecards und Wirkungsdatenräume können hier Mehrfachabfragen reduzieren.</w:t>
      </w:r>
    </w:p>
    <w:tbl>
      <w:tblPr>
        <w:tblStyle w:val="TableGrid"/>
        <w:tblW w:type="auto" w:w="0"/>
        <w:jc w:val="center"/>
        <w:tblLook w:firstColumn="1" w:firstRow="1" w:lastColumn="0" w:lastRow="0" w:noHBand="0" w:noVBand="1" w:val="04A0"/>
      </w:tblPr>
      <w:tblGrid>
        <w:gridCol w:w="3324"/>
        <w:gridCol w:w="3324"/>
        <w:gridCol w:w="3324"/>
      </w:tblGrid>
      <w:tr>
        <w:tc>
          <w:tcPr>
            <w:tcW w:type="dxa" w:w="2381"/>
            <w:vAlign w:val="top"/>
            <w:shd w:fill="F3EFE6"/>
          </w:tcPr>
          <w:p>
            <w:pPr>
              <w:spacing w:after="0"/>
            </w:pPr>
            <w:r/>
            <w:r>
              <w:rPr>
                <w:rFonts w:ascii="Liberation Sans" w:hAnsi="Liberation Sans"/>
                <w:b/>
                <w:color w:val="080120"/>
                <w:sz w:val="17"/>
              </w:rPr>
              <w:t>Bankenfrage</w:t>
            </w:r>
          </w:p>
        </w:tc>
        <w:tc>
          <w:tcPr>
            <w:tcW w:type="dxa" w:w="3231"/>
            <w:vAlign w:val="top"/>
            <w:shd w:fill="F3EFE6"/>
          </w:tcPr>
          <w:p>
            <w:pPr>
              <w:spacing w:after="0"/>
            </w:pPr>
            <w:r/>
            <w:r>
              <w:rPr>
                <w:rFonts w:ascii="Liberation Sans" w:hAnsi="Liberation Sans"/>
                <w:b/>
                <w:color w:val="080120"/>
                <w:sz w:val="17"/>
              </w:rPr>
              <w:t>Unternehmensantwort</w:t>
            </w:r>
          </w:p>
        </w:tc>
        <w:tc>
          <w:tcPr>
            <w:tcW w:type="dxa" w:w="3231"/>
            <w:vAlign w:val="top"/>
            <w:shd w:fill="F3EFE6"/>
          </w:tcPr>
          <w:p>
            <w:pPr>
              <w:spacing w:after="0"/>
            </w:pPr>
            <w:r/>
            <w:r>
              <w:rPr>
                <w:rFonts w:ascii="Liberation Sans" w:hAnsi="Liberation Sans"/>
                <w:b/>
                <w:color w:val="080120"/>
                <w:sz w:val="17"/>
              </w:rPr>
              <w:t>WÖk-Übersetzung</w:t>
            </w:r>
          </w:p>
        </w:tc>
      </w:tr>
      <w:tr>
        <w:tc>
          <w:tcPr>
            <w:tcW w:type="dxa" w:w="2381"/>
            <w:vAlign w:val="top"/>
          </w:tcPr>
          <w:p>
            <w:pPr>
              <w:spacing w:after="0"/>
            </w:pPr>
            <w:r/>
            <w:r>
              <w:rPr>
                <w:rFonts w:ascii="Liberation Sans" w:hAnsi="Liberation Sans"/>
                <w:b w:val="0"/>
                <w:color w:val="42404C"/>
                <w:sz w:val="17"/>
              </w:rPr>
              <w:t>Welche physischen Risiken bestehen?</w:t>
            </w:r>
          </w:p>
        </w:tc>
        <w:tc>
          <w:tcPr>
            <w:tcW w:type="dxa" w:w="3231"/>
            <w:vAlign w:val="top"/>
          </w:tcPr>
          <w:p>
            <w:pPr>
              <w:spacing w:after="0"/>
            </w:pPr>
            <w:r/>
            <w:r>
              <w:rPr>
                <w:rFonts w:ascii="Liberation Sans" w:hAnsi="Liberation Sans"/>
                <w:b w:val="0"/>
                <w:color w:val="42404C"/>
                <w:sz w:val="17"/>
              </w:rPr>
              <w:t>Standorte, Lieferketten, Klimarisiko, Versicherung</w:t>
            </w:r>
          </w:p>
        </w:tc>
        <w:tc>
          <w:tcPr>
            <w:tcW w:type="dxa" w:w="3231"/>
            <w:vAlign w:val="top"/>
          </w:tcPr>
          <w:p>
            <w:pPr>
              <w:spacing w:after="0"/>
            </w:pPr>
            <w:r/>
            <w:r>
              <w:rPr>
                <w:rFonts w:ascii="Liberation Sans" w:hAnsi="Liberation Sans"/>
                <w:b w:val="0"/>
                <w:color w:val="42404C"/>
                <w:sz w:val="17"/>
              </w:rPr>
              <w:t>Wirkungsrisiko und Resilienzscore</w:t>
            </w:r>
          </w:p>
        </w:tc>
      </w:tr>
      <w:tr>
        <w:tc>
          <w:tcPr>
            <w:tcW w:type="dxa" w:w="2381"/>
            <w:vAlign w:val="top"/>
          </w:tcPr>
          <w:p>
            <w:pPr>
              <w:spacing w:after="0"/>
            </w:pPr>
            <w:r/>
            <w:r>
              <w:rPr>
                <w:rFonts w:ascii="Liberation Sans" w:hAnsi="Liberation Sans"/>
                <w:b w:val="0"/>
                <w:color w:val="42404C"/>
                <w:sz w:val="17"/>
              </w:rPr>
              <w:t>Welche Transitionsrisiken bestehen?</w:t>
            </w:r>
          </w:p>
        </w:tc>
        <w:tc>
          <w:tcPr>
            <w:tcW w:type="dxa" w:w="3231"/>
            <w:vAlign w:val="top"/>
          </w:tcPr>
          <w:p>
            <w:pPr>
              <w:spacing w:after="0"/>
            </w:pPr>
            <w:r/>
            <w:r>
              <w:rPr>
                <w:rFonts w:ascii="Liberation Sans" w:hAnsi="Liberation Sans"/>
                <w:b w:val="0"/>
                <w:color w:val="42404C"/>
                <w:sz w:val="17"/>
              </w:rPr>
              <w:t>Abhängigkeit von fossilen Energien, alten Materialien, Regulierung</w:t>
            </w:r>
          </w:p>
        </w:tc>
        <w:tc>
          <w:tcPr>
            <w:tcW w:type="dxa" w:w="3231"/>
            <w:vAlign w:val="top"/>
          </w:tcPr>
          <w:p>
            <w:pPr>
              <w:spacing w:after="0"/>
            </w:pPr>
            <w:r/>
            <w:r>
              <w:rPr>
                <w:rFonts w:ascii="Liberation Sans" w:hAnsi="Liberation Sans"/>
                <w:b w:val="0"/>
                <w:color w:val="42404C"/>
                <w:sz w:val="17"/>
              </w:rPr>
              <w:t>Transformationspfad und Stranded-Asset-Check</w:t>
            </w:r>
          </w:p>
        </w:tc>
      </w:tr>
      <w:tr>
        <w:tc>
          <w:tcPr>
            <w:tcW w:type="dxa" w:w="2381"/>
            <w:vAlign w:val="top"/>
          </w:tcPr>
          <w:p>
            <w:pPr>
              <w:spacing w:after="0"/>
            </w:pPr>
            <w:r/>
            <w:r>
              <w:rPr>
                <w:rFonts w:ascii="Liberation Sans" w:hAnsi="Liberation Sans"/>
                <w:b w:val="0"/>
                <w:color w:val="42404C"/>
                <w:sz w:val="17"/>
              </w:rPr>
              <w:t>Welche Datenqualität liegt vor?</w:t>
            </w:r>
          </w:p>
        </w:tc>
        <w:tc>
          <w:tcPr>
            <w:tcW w:type="dxa" w:w="3231"/>
            <w:vAlign w:val="top"/>
          </w:tcPr>
          <w:p>
            <w:pPr>
              <w:spacing w:after="0"/>
            </w:pPr>
            <w:r/>
            <w:r>
              <w:rPr>
                <w:rFonts w:ascii="Liberation Sans" w:hAnsi="Liberation Sans"/>
                <w:b w:val="0"/>
                <w:color w:val="42404C"/>
                <w:sz w:val="17"/>
              </w:rPr>
              <w:t>CSRD/ESRS, Lieferantendaten, Produktdaten</w:t>
            </w:r>
          </w:p>
        </w:tc>
        <w:tc>
          <w:tcPr>
            <w:tcW w:type="dxa" w:w="3231"/>
            <w:vAlign w:val="top"/>
          </w:tcPr>
          <w:p>
            <w:pPr>
              <w:spacing w:after="0"/>
            </w:pPr>
            <w:r/>
            <w:r>
              <w:rPr>
                <w:rFonts w:ascii="Liberation Sans" w:hAnsi="Liberation Sans"/>
                <w:b w:val="0"/>
                <w:color w:val="42404C"/>
                <w:sz w:val="17"/>
              </w:rPr>
              <w:t>Datenqualitätsstufe für WÖk-ID/Scorecard</w:t>
            </w:r>
          </w:p>
        </w:tc>
      </w:tr>
      <w:tr>
        <w:tc>
          <w:tcPr>
            <w:tcW w:type="dxa" w:w="2381"/>
            <w:vAlign w:val="top"/>
          </w:tcPr>
          <w:p>
            <w:pPr>
              <w:spacing w:after="0"/>
            </w:pPr>
            <w:r/>
            <w:r>
              <w:rPr>
                <w:rFonts w:ascii="Liberation Sans" w:hAnsi="Liberation Sans"/>
                <w:b w:val="0"/>
                <w:color w:val="42404C"/>
                <w:sz w:val="17"/>
              </w:rPr>
              <w:t>Gibt es einen plausiblen Plan?</w:t>
            </w:r>
          </w:p>
        </w:tc>
        <w:tc>
          <w:tcPr>
            <w:tcW w:type="dxa" w:w="3231"/>
            <w:vAlign w:val="top"/>
          </w:tcPr>
          <w:p>
            <w:pPr>
              <w:spacing w:after="0"/>
            </w:pPr>
            <w:r/>
            <w:r>
              <w:rPr>
                <w:rFonts w:ascii="Liberation Sans" w:hAnsi="Liberation Sans"/>
                <w:b w:val="0"/>
                <w:color w:val="42404C"/>
                <w:sz w:val="17"/>
              </w:rPr>
              <w:t>Investitions-, Emissions-, Material- und Personalpfad</w:t>
            </w:r>
          </w:p>
        </w:tc>
        <w:tc>
          <w:tcPr>
            <w:tcW w:type="dxa" w:w="3231"/>
            <w:vAlign w:val="top"/>
          </w:tcPr>
          <w:p>
            <w:pPr>
              <w:spacing w:after="0"/>
            </w:pPr>
            <w:r/>
            <w:r>
              <w:rPr>
                <w:rFonts w:ascii="Liberation Sans" w:hAnsi="Liberation Sans"/>
                <w:b w:val="0"/>
                <w:color w:val="42404C"/>
                <w:sz w:val="17"/>
              </w:rPr>
              <w:t>T-SROI und Wirkungsfonds-Anschluss</w:t>
            </w:r>
          </w:p>
        </w:tc>
      </w:tr>
    </w:tbl>
    <w:p/>
    <w:p>
      <w:pPr>
        <w:pStyle w:val="Heading1"/>
      </w:pPr>
      <w:r>
        <w:t>8. Versicherungen: Versicherbarkeit als Wirklichkeitsprüfung</w:t>
      </w:r>
    </w:p>
    <w:p>
      <w:r>
        <w:t>Versicherungen sind ein besonders harter Realitätstest. Wenn Risiken häufiger, teurer oder unberechenbarer werden, steigen Prämien, Deckungen werden eingeschränkt oder Risiken werden unversicherbar. Klima, Extremwetter, Wasser, Gesundheit, Infrastruktur, Cyberrisiken und Lieferketten wirken damit unmittelbar auf Unternehmen, Kommunen und Haushalte zurück.</w:t>
      </w:r>
    </w:p>
    <w:p>
      <w:r>
        <w:t>Die Wirkungsökonomie liest Versicherbarkeit als Wirklichkeitsprüfung: Ein Geschäftsmodell, das nur rentabel ist, solange seine Risiken von Allgemeinheit, Staat oder zukünftigen Generationen getragen werden, ist kein stabiles Geschäftsmodell.</w:t>
      </w:r>
    </w:p>
    <w:p>
      <w:r>
        <w:t>Deshalb gehören Versicherungsdaten, Schadensdaten, Präventionsmaßnahmen und Resilienzindikatoren in die WÖk-Architektur. Prävention wird dadurch zu einer messbaren Wirkleistung: Sie senkt Schäden, stabilisiert Menschen und Kommunen, schützt Vermögen und erhält demokratisches Vertrauen.</w:t>
      </w:r>
    </w:p>
    <w:p>
      <w:pPr>
        <w:pStyle w:val="Heading1"/>
      </w:pPr>
      <w:r>
        <w:t>9. Börse, ESG-Ratings und Investorenerwartungen</w:t>
      </w:r>
    </w:p>
    <w:p>
      <w:r>
        <w:t>Börsenorientierte Unternehmen erleben Nachhaltigkeitsanforderungen häufig über Investoren, Ratingagenturen, Analysten, Stimmrechtsberater, Indexanbieter und regulatorische Offenlegung. ESG-Ratings sind dabei nützlich, aber begrenzt. Sie messen oft Risikoprofile, Offenlegungsqualität oder Managementsysteme, nicht zwingend reale Netto-Wirkung.</w:t>
      </w:r>
    </w:p>
    <w:p>
      <w:r>
        <w:t>Die Wirkungsökonomie darf ESG daher nicht einfach übernehmen. Sie muss ESG-Daten nutzen, aber präziser unterscheiden: Risiko für das Unternehmen ist nicht dasselbe wie Wirkung des Unternehmens auf Mensch, Planet und Demokratie. Ein Unternehmen kann gut gegen Risiken abgesichert sein und dennoch negative externe Wirkungen verursachen.</w:t>
      </w:r>
    </w:p>
    <w:p>
      <w:r>
        <w:t>Das WÖk-Ziel ist deshalb ein Übergang vom ESG-Rating zum Portfolio-Wirkungsrating: Kapital soll nicht nur wissen, ob es selbst gefährdet ist, sondern ob es Wirkungsräume stabilisiert oder destabilisiert.</w:t>
      </w:r>
    </w:p>
    <w:tbl>
      <w:tblPr>
        <w:tblStyle w:val="TableGrid"/>
        <w:tblW w:type="auto" w:w="0"/>
        <w:jc w:val="center"/>
        <w:tblLook w:firstColumn="1" w:firstRow="1" w:lastColumn="0" w:lastRow="0" w:noHBand="0" w:noVBand="1" w:val="04A0"/>
      </w:tblPr>
      <w:tblGrid>
        <w:gridCol w:w="3324"/>
        <w:gridCol w:w="3324"/>
        <w:gridCol w:w="3324"/>
      </w:tblGrid>
      <w:tr>
        <w:tc>
          <w:tcPr>
            <w:tcW w:type="dxa" w:w="2381"/>
            <w:vAlign w:val="top"/>
            <w:shd w:fill="F3EFE6"/>
          </w:tcPr>
          <w:p>
            <w:pPr>
              <w:spacing w:after="0"/>
            </w:pPr>
            <w:r/>
            <w:r>
              <w:rPr>
                <w:rFonts w:ascii="Liberation Sans" w:hAnsi="Liberation Sans"/>
                <w:b/>
                <w:color w:val="080120"/>
                <w:sz w:val="17"/>
              </w:rPr>
              <w:t>ESG-Lesart</w:t>
            </w:r>
          </w:p>
        </w:tc>
        <w:tc>
          <w:tcPr>
            <w:tcW w:type="dxa" w:w="3118"/>
            <w:vAlign w:val="top"/>
            <w:shd w:fill="F3EFE6"/>
          </w:tcPr>
          <w:p>
            <w:pPr>
              <w:spacing w:after="0"/>
            </w:pPr>
            <w:r/>
            <w:r>
              <w:rPr>
                <w:rFonts w:ascii="Liberation Sans" w:hAnsi="Liberation Sans"/>
                <w:b/>
                <w:color w:val="080120"/>
                <w:sz w:val="17"/>
              </w:rPr>
              <w:t>Grenze</w:t>
            </w:r>
          </w:p>
        </w:tc>
        <w:tc>
          <w:tcPr>
            <w:tcW w:type="dxa" w:w="3288"/>
            <w:vAlign w:val="top"/>
            <w:shd w:fill="F3EFE6"/>
          </w:tcPr>
          <w:p>
            <w:pPr>
              <w:spacing w:after="0"/>
            </w:pPr>
            <w:r/>
            <w:r>
              <w:rPr>
                <w:rFonts w:ascii="Liberation Sans" w:hAnsi="Liberation Sans"/>
                <w:b/>
                <w:color w:val="080120"/>
                <w:sz w:val="17"/>
              </w:rPr>
              <w:t>WÖk-Korrektur</w:t>
            </w:r>
          </w:p>
        </w:tc>
      </w:tr>
      <w:tr>
        <w:tc>
          <w:tcPr>
            <w:tcW w:type="dxa" w:w="2381"/>
            <w:vAlign w:val="top"/>
          </w:tcPr>
          <w:p>
            <w:pPr>
              <w:spacing w:after="0"/>
            </w:pPr>
            <w:r/>
            <w:r>
              <w:rPr>
                <w:rFonts w:ascii="Liberation Sans" w:hAnsi="Liberation Sans"/>
                <w:b w:val="0"/>
                <w:color w:val="42404C"/>
                <w:sz w:val="17"/>
              </w:rPr>
              <w:t>Risikomanagement für Unternehmen</w:t>
            </w:r>
          </w:p>
        </w:tc>
        <w:tc>
          <w:tcPr>
            <w:tcW w:type="dxa" w:w="3118"/>
            <w:vAlign w:val="top"/>
          </w:tcPr>
          <w:p>
            <w:pPr>
              <w:spacing w:after="0"/>
            </w:pPr>
            <w:r/>
            <w:r>
              <w:rPr>
                <w:rFonts w:ascii="Liberation Sans" w:hAnsi="Liberation Sans"/>
                <w:b w:val="0"/>
                <w:color w:val="42404C"/>
                <w:sz w:val="17"/>
              </w:rPr>
              <w:t>Externalisierte Wirkungen können unsichtbar bleiben</w:t>
            </w:r>
          </w:p>
        </w:tc>
        <w:tc>
          <w:tcPr>
            <w:tcW w:type="dxa" w:w="3288"/>
            <w:vAlign w:val="top"/>
          </w:tcPr>
          <w:p>
            <w:pPr>
              <w:spacing w:after="0"/>
            </w:pPr>
            <w:r/>
            <w:r>
              <w:rPr>
                <w:rFonts w:ascii="Liberation Sans" w:hAnsi="Liberation Sans"/>
                <w:b w:val="0"/>
                <w:color w:val="42404C"/>
                <w:sz w:val="17"/>
              </w:rPr>
              <w:t>Doppelte Perspektive: Risiko und Wirkung</w:t>
            </w:r>
          </w:p>
        </w:tc>
      </w:tr>
      <w:tr>
        <w:tc>
          <w:tcPr>
            <w:tcW w:type="dxa" w:w="2381"/>
            <w:vAlign w:val="top"/>
          </w:tcPr>
          <w:p>
            <w:pPr>
              <w:spacing w:after="0"/>
            </w:pPr>
            <w:r/>
            <w:r>
              <w:rPr>
                <w:rFonts w:ascii="Liberation Sans" w:hAnsi="Liberation Sans"/>
                <w:b w:val="0"/>
                <w:color w:val="42404C"/>
                <w:sz w:val="17"/>
              </w:rPr>
              <w:t>Disclosure-Qualität</w:t>
            </w:r>
          </w:p>
        </w:tc>
        <w:tc>
          <w:tcPr>
            <w:tcW w:type="dxa" w:w="3118"/>
            <w:vAlign w:val="top"/>
          </w:tcPr>
          <w:p>
            <w:pPr>
              <w:spacing w:after="0"/>
            </w:pPr>
            <w:r/>
            <w:r>
              <w:rPr>
                <w:rFonts w:ascii="Liberation Sans" w:hAnsi="Liberation Sans"/>
                <w:b w:val="0"/>
                <w:color w:val="42404C"/>
                <w:sz w:val="17"/>
              </w:rPr>
              <w:t>Gute Berichte ersetzen keine gute Wirkung</w:t>
            </w:r>
          </w:p>
        </w:tc>
        <w:tc>
          <w:tcPr>
            <w:tcW w:type="dxa" w:w="3288"/>
            <w:vAlign w:val="top"/>
          </w:tcPr>
          <w:p>
            <w:pPr>
              <w:spacing w:after="0"/>
            </w:pPr>
            <w:r/>
            <w:r>
              <w:rPr>
                <w:rFonts w:ascii="Liberation Sans" w:hAnsi="Liberation Sans"/>
                <w:b w:val="0"/>
                <w:color w:val="42404C"/>
                <w:sz w:val="17"/>
              </w:rPr>
              <w:t>Datenprüfung, Scorecards, NWI</w:t>
            </w:r>
          </w:p>
        </w:tc>
      </w:tr>
      <w:tr>
        <w:tc>
          <w:tcPr>
            <w:tcW w:type="dxa" w:w="2381"/>
            <w:vAlign w:val="top"/>
          </w:tcPr>
          <w:p>
            <w:pPr>
              <w:spacing w:after="0"/>
            </w:pPr>
            <w:r/>
            <w:r>
              <w:rPr>
                <w:rFonts w:ascii="Liberation Sans" w:hAnsi="Liberation Sans"/>
                <w:b w:val="0"/>
                <w:color w:val="42404C"/>
                <w:sz w:val="17"/>
              </w:rPr>
              <w:t>Aggregierte Ratings</w:t>
            </w:r>
          </w:p>
        </w:tc>
        <w:tc>
          <w:tcPr>
            <w:tcW w:type="dxa" w:w="3118"/>
            <w:vAlign w:val="top"/>
          </w:tcPr>
          <w:p>
            <w:pPr>
              <w:spacing w:after="0"/>
            </w:pPr>
            <w:r/>
            <w:r>
              <w:rPr>
                <w:rFonts w:ascii="Liberation Sans" w:hAnsi="Liberation Sans"/>
                <w:b w:val="0"/>
                <w:color w:val="42404C"/>
                <w:sz w:val="17"/>
              </w:rPr>
              <w:t>Kompensation und Durchschnittslogik möglich</w:t>
            </w:r>
          </w:p>
        </w:tc>
        <w:tc>
          <w:tcPr>
            <w:tcW w:type="dxa" w:w="3288"/>
            <w:vAlign w:val="top"/>
          </w:tcPr>
          <w:p>
            <w:pPr>
              <w:spacing w:after="0"/>
            </w:pPr>
            <w:r/>
            <w:r>
              <w:rPr>
                <w:rFonts w:ascii="Liberation Sans" w:hAnsi="Liberation Sans"/>
                <w:b w:val="0"/>
                <w:color w:val="42404C"/>
                <w:sz w:val="17"/>
              </w:rPr>
              <w:t>Reverse Merit Order und rote Linien</w:t>
            </w:r>
          </w:p>
        </w:tc>
      </w:tr>
      <w:tr>
        <w:tc>
          <w:tcPr>
            <w:tcW w:type="dxa" w:w="2381"/>
            <w:vAlign w:val="top"/>
          </w:tcPr>
          <w:p>
            <w:pPr>
              <w:spacing w:after="0"/>
            </w:pPr>
            <w:r/>
            <w:r>
              <w:rPr>
                <w:rFonts w:ascii="Liberation Sans" w:hAnsi="Liberation Sans"/>
                <w:b w:val="0"/>
                <w:color w:val="42404C"/>
                <w:sz w:val="17"/>
              </w:rPr>
              <w:t>Investorennutzen</w:t>
            </w:r>
          </w:p>
        </w:tc>
        <w:tc>
          <w:tcPr>
            <w:tcW w:type="dxa" w:w="3118"/>
            <w:vAlign w:val="top"/>
          </w:tcPr>
          <w:p>
            <w:pPr>
              <w:spacing w:after="0"/>
            </w:pPr>
            <w:r/>
            <w:r>
              <w:rPr>
                <w:rFonts w:ascii="Liberation Sans" w:hAnsi="Liberation Sans"/>
                <w:b w:val="0"/>
                <w:color w:val="42404C"/>
                <w:sz w:val="17"/>
              </w:rPr>
              <w:t>Mensch/Planet/Demokratie nicht immer primärer Maßstab</w:t>
            </w:r>
          </w:p>
        </w:tc>
        <w:tc>
          <w:tcPr>
            <w:tcW w:type="dxa" w:w="3288"/>
            <w:vAlign w:val="top"/>
          </w:tcPr>
          <w:p>
            <w:pPr>
              <w:spacing w:after="0"/>
            </w:pPr>
            <w:r/>
            <w:r>
              <w:rPr>
                <w:rFonts w:ascii="Liberation Sans" w:hAnsi="Liberation Sans"/>
                <w:b w:val="0"/>
                <w:color w:val="42404C"/>
                <w:sz w:val="17"/>
              </w:rPr>
              <w:t>Positive Netto-Wirkung als Zielgröße</w:t>
            </w:r>
          </w:p>
        </w:tc>
      </w:tr>
    </w:tbl>
    <w:p/>
    <w:p>
      <w:pPr>
        <w:pStyle w:val="Heading1"/>
      </w:pPr>
      <w:r>
        <w:t>10. KMU und mittelbare Betroffenheit</w:t>
      </w:r>
    </w:p>
    <w:p>
      <w:r>
        <w:t>Auch kleine und mittlere Unternehmen sind betroffen, selbst wenn sie nicht direkt CSRD-pflichtig sind. Banken können ESG- und Transformationsdaten für Kreditentscheidungen benötigen. Große Kunden können Lieferkettendaten verlangen. Versicherer können Standort- und Klimarisiken stärker berücksichtigen. Öffentliche Auftraggeber können Nachhaltigkeits- und Wirkungsanforderungen setzen.</w:t>
      </w:r>
    </w:p>
    <w:p>
      <w:r>
        <w:t>Diese indirekte Betroffenheit darf nicht in einem Nachweischaos enden. Die WÖk muss deshalb zwei Ziele gleichzeitig verfolgen: Daten standardisieren und Bürokratie reduzieren. Der richtige Ansatz ist nicht: Jede Bank, jeder Kunde und jede Behörde fragt anders. Der richtige Ansatz ist: Einmal erhobene, geprüfte Daten können mehrfach genutzt werden.</w:t>
      </w:r>
    </w:p>
    <w:p>
      <w:r>
        <w:t>Für KMU braucht es vereinfachte Scorecards, Branchenarchetypen, Förderlotsen, digitale Produktpässe, freiwillige Einstiegsstufen, klare Schwellen und Schutz vor überfordernden Berichtslasten.</w:t>
      </w:r>
    </w:p>
    <w:p>
      <w:pPr>
        <w:pStyle w:val="Heading1"/>
      </w:pPr>
      <w:r>
        <w:t>11. Wirkungsökonomische Einordnung: von Risiko zu Rückkopplung</w:t>
      </w:r>
    </w:p>
    <w:p>
      <w:r>
        <w:t>Die aktuelle Finanzmarktlogik bewegt sich von Nachhaltigkeitskommunikation zu Risikomanagement. Die Wirkungsökonomie geht weiter: Sie macht Wirkung zur Rückkopplungsgröße. Das bedeutet: Eine schlechte Wirkung soll nicht nur im Risikobericht stehen, sondern die Bedingungen verändern, unter denen Kapital, Preise, Steuern, Versicherungen und öffentliche Mittel fließen.</w:t>
      </w:r>
    </w:p>
    <w:p>
      <w:r>
        <w:t>Diese Rückkopplung ist der Unterschied zwischen ESG und Wirkungsökonomie. ESG fragt häufig: Welche Nachhaltigkeitsrisiken betreffen ein Unternehmen? Die WÖk fragt zusätzlich: Welche Wirkungen erzeugt das Unternehmen, und wie müssen diese Wirkungen in Entscheidungen zurückgeführt werden?</w:t>
      </w:r>
    </w:p>
    <w:p>
      <w:r>
        <w:t>Damit werden SDGs vom Zielkatalog zur Steuerungsgrundlage. Nicht als starres Kommando, sondern als überprüfbare Wirkungsarchitektur mit Daten, Benchmarks, Nichtkompensation, demokratischer Kontrolle und Korrektur.</w:t>
      </w:r>
    </w:p>
    <w:tbl>
      <w:tblPr>
        <w:tblStyle w:val="TableGrid"/>
        <w:tblW w:type="auto" w:w="0"/>
        <w:jc w:val="center"/>
        <w:tblLook w:firstColumn="1" w:firstRow="1" w:lastColumn="0" w:lastRow="0" w:noHBand="0" w:noVBand="1" w:val="04A0"/>
      </w:tblPr>
      <w:tblGrid>
        <w:gridCol w:w="3324"/>
        <w:gridCol w:w="3324"/>
        <w:gridCol w:w="3324"/>
      </w:tblGrid>
      <w:tr>
        <w:tc>
          <w:tcPr>
            <w:tcW w:type="dxa" w:w="1814"/>
            <w:vAlign w:val="top"/>
            <w:shd w:fill="F3EFE6"/>
          </w:tcPr>
          <w:p>
            <w:pPr>
              <w:spacing w:after="0"/>
            </w:pPr>
            <w:r/>
            <w:r>
              <w:rPr>
                <w:rFonts w:ascii="Liberation Sans" w:hAnsi="Liberation Sans"/>
                <w:b/>
                <w:color w:val="080120"/>
                <w:sz w:val="17"/>
              </w:rPr>
              <w:t>Ebene</w:t>
            </w:r>
          </w:p>
        </w:tc>
        <w:tc>
          <w:tcPr>
            <w:tcW w:type="dxa" w:w="3402"/>
            <w:vAlign w:val="top"/>
            <w:shd w:fill="F3EFE6"/>
          </w:tcPr>
          <w:p>
            <w:pPr>
              <w:spacing w:after="0"/>
            </w:pPr>
            <w:r/>
            <w:r>
              <w:rPr>
                <w:rFonts w:ascii="Liberation Sans" w:hAnsi="Liberation Sans"/>
                <w:b/>
                <w:color w:val="080120"/>
                <w:sz w:val="17"/>
              </w:rPr>
              <w:t>Heutige Logik</w:t>
            </w:r>
          </w:p>
        </w:tc>
        <w:tc>
          <w:tcPr>
            <w:tcW w:type="dxa" w:w="3402"/>
            <w:vAlign w:val="top"/>
            <w:shd w:fill="F3EFE6"/>
          </w:tcPr>
          <w:p>
            <w:pPr>
              <w:spacing w:after="0"/>
            </w:pPr>
            <w:r/>
            <w:r>
              <w:rPr>
                <w:rFonts w:ascii="Liberation Sans" w:hAnsi="Liberation Sans"/>
                <w:b/>
                <w:color w:val="080120"/>
                <w:sz w:val="17"/>
              </w:rPr>
              <w:t>WÖk-Logik</w:t>
            </w:r>
          </w:p>
        </w:tc>
      </w:tr>
      <w:tr>
        <w:tc>
          <w:tcPr>
            <w:tcW w:type="dxa" w:w="1814"/>
            <w:vAlign w:val="top"/>
          </w:tcPr>
          <w:p>
            <w:pPr>
              <w:spacing w:after="0"/>
            </w:pPr>
            <w:r/>
            <w:r>
              <w:rPr>
                <w:rFonts w:ascii="Liberation Sans" w:hAnsi="Liberation Sans"/>
                <w:b w:val="0"/>
                <w:color w:val="42404C"/>
                <w:sz w:val="17"/>
              </w:rPr>
              <w:t>Bericht</w:t>
            </w:r>
          </w:p>
        </w:tc>
        <w:tc>
          <w:tcPr>
            <w:tcW w:type="dxa" w:w="3402"/>
            <w:vAlign w:val="top"/>
          </w:tcPr>
          <w:p>
            <w:pPr>
              <w:spacing w:after="0"/>
            </w:pPr>
            <w:r/>
            <w:r>
              <w:rPr>
                <w:rFonts w:ascii="Liberation Sans" w:hAnsi="Liberation Sans"/>
                <w:b w:val="0"/>
                <w:color w:val="42404C"/>
                <w:sz w:val="17"/>
              </w:rPr>
              <w:t>Information für Stakeholder</w:t>
            </w:r>
          </w:p>
        </w:tc>
        <w:tc>
          <w:tcPr>
            <w:tcW w:type="dxa" w:w="3402"/>
            <w:vAlign w:val="top"/>
          </w:tcPr>
          <w:p>
            <w:pPr>
              <w:spacing w:after="0"/>
            </w:pPr>
            <w:r/>
            <w:r>
              <w:rPr>
                <w:rFonts w:ascii="Liberation Sans" w:hAnsi="Liberation Sans"/>
                <w:b w:val="0"/>
                <w:color w:val="42404C"/>
                <w:sz w:val="17"/>
              </w:rPr>
              <w:t>Datenbasis für Steuerung</w:t>
            </w:r>
          </w:p>
        </w:tc>
      </w:tr>
      <w:tr>
        <w:tc>
          <w:tcPr>
            <w:tcW w:type="dxa" w:w="1814"/>
            <w:vAlign w:val="top"/>
          </w:tcPr>
          <w:p>
            <w:pPr>
              <w:spacing w:after="0"/>
            </w:pPr>
            <w:r/>
            <w:r>
              <w:rPr>
                <w:rFonts w:ascii="Liberation Sans" w:hAnsi="Liberation Sans"/>
                <w:b w:val="0"/>
                <w:color w:val="42404C"/>
                <w:sz w:val="17"/>
              </w:rPr>
              <w:t>Risiko</w:t>
            </w:r>
          </w:p>
        </w:tc>
        <w:tc>
          <w:tcPr>
            <w:tcW w:type="dxa" w:w="3402"/>
            <w:vAlign w:val="top"/>
          </w:tcPr>
          <w:p>
            <w:pPr>
              <w:spacing w:after="0"/>
            </w:pPr>
            <w:r/>
            <w:r>
              <w:rPr>
                <w:rFonts w:ascii="Liberation Sans" w:hAnsi="Liberation Sans"/>
                <w:b w:val="0"/>
                <w:color w:val="42404C"/>
                <w:sz w:val="17"/>
              </w:rPr>
              <w:t>Gefahr für Unternehmen oder Portfolio</w:t>
            </w:r>
          </w:p>
        </w:tc>
        <w:tc>
          <w:tcPr>
            <w:tcW w:type="dxa" w:w="3402"/>
            <w:vAlign w:val="top"/>
          </w:tcPr>
          <w:p>
            <w:pPr>
              <w:spacing w:after="0"/>
            </w:pPr>
            <w:r/>
            <w:r>
              <w:rPr>
                <w:rFonts w:ascii="Liberation Sans" w:hAnsi="Liberation Sans"/>
                <w:b w:val="0"/>
                <w:color w:val="42404C"/>
                <w:sz w:val="17"/>
              </w:rPr>
              <w:t>Gefahr für Unternehmen und Wirkungsräume</w:t>
            </w:r>
          </w:p>
        </w:tc>
      </w:tr>
      <w:tr>
        <w:tc>
          <w:tcPr>
            <w:tcW w:type="dxa" w:w="1814"/>
            <w:vAlign w:val="top"/>
          </w:tcPr>
          <w:p>
            <w:pPr>
              <w:spacing w:after="0"/>
            </w:pPr>
            <w:r/>
            <w:r>
              <w:rPr>
                <w:rFonts w:ascii="Liberation Sans" w:hAnsi="Liberation Sans"/>
                <w:b w:val="0"/>
                <w:color w:val="42404C"/>
                <w:sz w:val="17"/>
              </w:rPr>
              <w:t>Kapital</w:t>
            </w:r>
          </w:p>
        </w:tc>
        <w:tc>
          <w:tcPr>
            <w:tcW w:type="dxa" w:w="3402"/>
            <w:vAlign w:val="top"/>
          </w:tcPr>
          <w:p>
            <w:pPr>
              <w:spacing w:after="0"/>
            </w:pPr>
            <w:r/>
            <w:r>
              <w:rPr>
                <w:rFonts w:ascii="Liberation Sans" w:hAnsi="Liberation Sans"/>
                <w:b w:val="0"/>
                <w:color w:val="42404C"/>
                <w:sz w:val="17"/>
              </w:rPr>
              <w:t>Kapital meidet bestimmte Risiken</w:t>
            </w:r>
          </w:p>
        </w:tc>
        <w:tc>
          <w:tcPr>
            <w:tcW w:type="dxa" w:w="3402"/>
            <w:vAlign w:val="top"/>
          </w:tcPr>
          <w:p>
            <w:pPr>
              <w:spacing w:after="0"/>
            </w:pPr>
            <w:r/>
            <w:r>
              <w:rPr>
                <w:rFonts w:ascii="Liberation Sans" w:hAnsi="Liberation Sans"/>
                <w:b w:val="0"/>
                <w:color w:val="42404C"/>
                <w:sz w:val="17"/>
              </w:rPr>
              <w:t>Kapital wird nach Wirkung gelenkt</w:t>
            </w:r>
          </w:p>
        </w:tc>
      </w:tr>
      <w:tr>
        <w:tc>
          <w:tcPr>
            <w:tcW w:type="dxa" w:w="1814"/>
            <w:vAlign w:val="top"/>
          </w:tcPr>
          <w:p>
            <w:pPr>
              <w:spacing w:after="0"/>
            </w:pPr>
            <w:r/>
            <w:r>
              <w:rPr>
                <w:rFonts w:ascii="Liberation Sans" w:hAnsi="Liberation Sans"/>
                <w:b w:val="0"/>
                <w:color w:val="42404C"/>
                <w:sz w:val="17"/>
              </w:rPr>
              <w:t>Steuer</w:t>
            </w:r>
          </w:p>
        </w:tc>
        <w:tc>
          <w:tcPr>
            <w:tcW w:type="dxa" w:w="3402"/>
            <w:vAlign w:val="top"/>
          </w:tcPr>
          <w:p>
            <w:pPr>
              <w:spacing w:after="0"/>
            </w:pPr>
            <w:r/>
            <w:r>
              <w:rPr>
                <w:rFonts w:ascii="Liberation Sans" w:hAnsi="Liberation Sans"/>
                <w:b w:val="0"/>
                <w:color w:val="42404C"/>
                <w:sz w:val="17"/>
              </w:rPr>
              <w:t>Einnahmen und Kategorien</w:t>
            </w:r>
          </w:p>
        </w:tc>
        <w:tc>
          <w:tcPr>
            <w:tcW w:type="dxa" w:w="3402"/>
            <w:vAlign w:val="top"/>
          </w:tcPr>
          <w:p>
            <w:pPr>
              <w:spacing w:after="0"/>
            </w:pPr>
            <w:r/>
            <w:r>
              <w:rPr>
                <w:rFonts w:ascii="Liberation Sans" w:hAnsi="Liberation Sans"/>
                <w:b w:val="0"/>
                <w:color w:val="42404C"/>
                <w:sz w:val="17"/>
              </w:rPr>
              <w:t>Wirkungsrückkopplung</w:t>
            </w:r>
          </w:p>
        </w:tc>
      </w:tr>
      <w:tr>
        <w:tc>
          <w:tcPr>
            <w:tcW w:type="dxa" w:w="1814"/>
            <w:vAlign w:val="top"/>
          </w:tcPr>
          <w:p>
            <w:pPr>
              <w:spacing w:after="0"/>
            </w:pPr>
            <w:r/>
            <w:r>
              <w:rPr>
                <w:rFonts w:ascii="Liberation Sans" w:hAnsi="Liberation Sans"/>
                <w:b w:val="0"/>
                <w:color w:val="42404C"/>
                <w:sz w:val="17"/>
              </w:rPr>
              <w:t>Versicherung</w:t>
            </w:r>
          </w:p>
        </w:tc>
        <w:tc>
          <w:tcPr>
            <w:tcW w:type="dxa" w:w="3402"/>
            <w:vAlign w:val="top"/>
          </w:tcPr>
          <w:p>
            <w:pPr>
              <w:spacing w:after="0"/>
            </w:pPr>
            <w:r/>
            <w:r>
              <w:rPr>
                <w:rFonts w:ascii="Liberation Sans" w:hAnsi="Liberation Sans"/>
                <w:b w:val="0"/>
                <w:color w:val="42404C"/>
                <w:sz w:val="17"/>
              </w:rPr>
              <w:t>Schäden bepreisen</w:t>
            </w:r>
          </w:p>
        </w:tc>
        <w:tc>
          <w:tcPr>
            <w:tcW w:type="dxa" w:w="3402"/>
            <w:vAlign w:val="top"/>
          </w:tcPr>
          <w:p>
            <w:pPr>
              <w:spacing w:after="0"/>
            </w:pPr>
            <w:r/>
            <w:r>
              <w:rPr>
                <w:rFonts w:ascii="Liberation Sans" w:hAnsi="Liberation Sans"/>
                <w:b w:val="0"/>
                <w:color w:val="42404C"/>
                <w:sz w:val="17"/>
              </w:rPr>
              <w:t>Prävention und Resilienz belohnen</w:t>
            </w:r>
          </w:p>
        </w:tc>
      </w:tr>
      <w:tr>
        <w:tc>
          <w:tcPr>
            <w:tcW w:type="dxa" w:w="1814"/>
            <w:vAlign w:val="top"/>
          </w:tcPr>
          <w:p>
            <w:pPr>
              <w:spacing w:after="0"/>
            </w:pPr>
            <w:r/>
            <w:r>
              <w:rPr>
                <w:rFonts w:ascii="Liberation Sans" w:hAnsi="Liberation Sans"/>
                <w:b w:val="0"/>
                <w:color w:val="42404C"/>
                <w:sz w:val="17"/>
              </w:rPr>
              <w:t>Politik</w:t>
            </w:r>
          </w:p>
        </w:tc>
        <w:tc>
          <w:tcPr>
            <w:tcW w:type="dxa" w:w="3402"/>
            <w:vAlign w:val="top"/>
          </w:tcPr>
          <w:p>
            <w:pPr>
              <w:spacing w:after="0"/>
            </w:pPr>
            <w:r/>
            <w:r>
              <w:rPr>
                <w:rFonts w:ascii="Liberation Sans" w:hAnsi="Liberation Sans"/>
                <w:b w:val="0"/>
                <w:color w:val="42404C"/>
                <w:sz w:val="17"/>
              </w:rPr>
              <w:t>Einzelregeln und Programme</w:t>
            </w:r>
          </w:p>
        </w:tc>
        <w:tc>
          <w:tcPr>
            <w:tcW w:type="dxa" w:w="3402"/>
            <w:vAlign w:val="top"/>
          </w:tcPr>
          <w:p>
            <w:pPr>
              <w:spacing w:after="0"/>
            </w:pPr>
            <w:r/>
            <w:r>
              <w:rPr>
                <w:rFonts w:ascii="Liberation Sans" w:hAnsi="Liberation Sans"/>
                <w:b w:val="0"/>
                <w:color w:val="42404C"/>
                <w:sz w:val="17"/>
              </w:rPr>
              <w:t>Wirkungshaushalt und Lernsystem</w:t>
            </w:r>
          </w:p>
        </w:tc>
      </w:tr>
    </w:tbl>
    <w:p/>
    <w:p>
      <w:pPr>
        <w:pStyle w:val="Heading1"/>
      </w:pPr>
      <w:r>
        <w:t>12. WÖk-Datenarchitektur: SDGs, WÖk-IDs, Scorecards und NWI</w:t>
      </w:r>
    </w:p>
    <w:p>
      <w:r>
        <w:t>Die WÖk-Datenarchitektur verbindet bestehende Datenquellen mit einer wirkungsökonomischen Bewertungslogik. SDGs und SDG+ bilden den Referenzrahmen. WÖk-IDs ordnen konkrete Indikatorfamilien zu. Scorecards bewerten Wirkung in Bereichen wie Klima, Ressourcen, Arbeit, Gesundheit, Governance, Medienqualität oder digitale Selbstbestimmung. Der Netto-Wirkungs-Index bündelt positive und negative Wirkungen unter roten Linien.</w:t>
      </w:r>
    </w:p>
    <w:p>
      <w:r>
        <w:t>Für den Finanzmarkt bedeutet das: Statt uneinheitlicher ESG-Fragebögen entsteht eine strukturierte Wirkungssprache. Unternehmen, Banken, Versicherer, Investoren und Verwaltung können dieselben Basiselemente verwenden, ohne dieselben Daten mehrfach unterschiedlich zu interpretieren.</w:t>
      </w:r>
    </w:p>
    <w:p>
      <w:r>
        <w:t>Wichtig bleibt: WÖk-IDs sind keine Personenbewertung. Sie bewerten Produkte, Tätigkeiten, Prozesse, Organisationen, Kapitalflüsse, Projekte oder Räume. Die Wirkungsökonomie darf nicht zu einem Social-Credit-System werden.</w:t>
      </w:r>
    </w:p>
    <w:tbl>
      <w:tblPr>
        <w:tblStyle w:val="TableGrid"/>
        <w:tblW w:type="auto" w:w="0"/>
        <w:jc w:val="center"/>
        <w:tblLook w:firstColumn="1" w:firstRow="1" w:lastColumn="0" w:lastRow="0" w:noHBand="0" w:noVBand="1" w:val="04A0"/>
      </w:tblPr>
      <w:tblGrid>
        <w:gridCol w:w="3324"/>
        <w:gridCol w:w="3324"/>
        <w:gridCol w:w="3324"/>
      </w:tblGrid>
      <w:tr>
        <w:tc>
          <w:tcPr>
            <w:tcW w:type="dxa" w:w="1701"/>
            <w:vAlign w:val="top"/>
            <w:shd w:fill="F3EFE6"/>
          </w:tcPr>
          <w:p>
            <w:pPr>
              <w:spacing w:after="0"/>
            </w:pPr>
            <w:r/>
            <w:r>
              <w:rPr>
                <w:rFonts w:ascii="Liberation Sans" w:hAnsi="Liberation Sans"/>
                <w:b/>
                <w:color w:val="080120"/>
                <w:sz w:val="17"/>
              </w:rPr>
              <w:t>Baustein</w:t>
            </w:r>
          </w:p>
        </w:tc>
        <w:tc>
          <w:tcPr>
            <w:tcW w:type="dxa" w:w="3231"/>
            <w:vAlign w:val="top"/>
            <w:shd w:fill="F3EFE6"/>
          </w:tcPr>
          <w:p>
            <w:pPr>
              <w:spacing w:after="0"/>
            </w:pPr>
            <w:r/>
            <w:r>
              <w:rPr>
                <w:rFonts w:ascii="Liberation Sans" w:hAnsi="Liberation Sans"/>
                <w:b/>
                <w:color w:val="080120"/>
                <w:sz w:val="17"/>
              </w:rPr>
              <w:t>Funktion</w:t>
            </w:r>
          </w:p>
        </w:tc>
        <w:tc>
          <w:tcPr>
            <w:tcW w:type="dxa" w:w="3572"/>
            <w:vAlign w:val="top"/>
            <w:shd w:fill="F3EFE6"/>
          </w:tcPr>
          <w:p>
            <w:pPr>
              <w:spacing w:after="0"/>
            </w:pPr>
            <w:r/>
            <w:r>
              <w:rPr>
                <w:rFonts w:ascii="Liberation Sans" w:hAnsi="Liberation Sans"/>
                <w:b/>
                <w:color w:val="080120"/>
                <w:sz w:val="17"/>
              </w:rPr>
              <w:t>Finanzmarkt-Anschluss</w:t>
            </w:r>
          </w:p>
        </w:tc>
      </w:tr>
      <w:tr>
        <w:tc>
          <w:tcPr>
            <w:tcW w:type="dxa" w:w="1701"/>
            <w:vAlign w:val="top"/>
          </w:tcPr>
          <w:p>
            <w:pPr>
              <w:spacing w:after="0"/>
            </w:pPr>
            <w:r/>
            <w:r>
              <w:rPr>
                <w:rFonts w:ascii="Liberation Sans" w:hAnsi="Liberation Sans"/>
                <w:b w:val="0"/>
                <w:color w:val="42404C"/>
                <w:sz w:val="17"/>
              </w:rPr>
              <w:t>SDG/SDG+</w:t>
            </w:r>
          </w:p>
        </w:tc>
        <w:tc>
          <w:tcPr>
            <w:tcW w:type="dxa" w:w="3231"/>
            <w:vAlign w:val="top"/>
          </w:tcPr>
          <w:p>
            <w:pPr>
              <w:spacing w:after="0"/>
            </w:pPr>
            <w:r/>
            <w:r>
              <w:rPr>
                <w:rFonts w:ascii="Liberation Sans" w:hAnsi="Liberation Sans"/>
                <w:b w:val="0"/>
                <w:color w:val="42404C"/>
                <w:sz w:val="17"/>
              </w:rPr>
              <w:t>Normativer Referenzrahmen</w:t>
            </w:r>
          </w:p>
        </w:tc>
        <w:tc>
          <w:tcPr>
            <w:tcW w:type="dxa" w:w="3572"/>
            <w:vAlign w:val="top"/>
          </w:tcPr>
          <w:p>
            <w:pPr>
              <w:spacing w:after="0"/>
            </w:pPr>
            <w:r/>
            <w:r>
              <w:rPr>
                <w:rFonts w:ascii="Liberation Sans" w:hAnsi="Liberation Sans"/>
                <w:b w:val="0"/>
                <w:color w:val="42404C"/>
                <w:sz w:val="17"/>
              </w:rPr>
              <w:t>Ziel- und Risikofelder</w:t>
            </w:r>
          </w:p>
        </w:tc>
      </w:tr>
      <w:tr>
        <w:tc>
          <w:tcPr>
            <w:tcW w:type="dxa" w:w="1701"/>
            <w:vAlign w:val="top"/>
          </w:tcPr>
          <w:p>
            <w:pPr>
              <w:spacing w:after="0"/>
            </w:pPr>
            <w:r/>
            <w:r>
              <w:rPr>
                <w:rFonts w:ascii="Liberation Sans" w:hAnsi="Liberation Sans"/>
                <w:b w:val="0"/>
                <w:color w:val="42404C"/>
                <w:sz w:val="17"/>
              </w:rPr>
              <w:t>WÖk-ID</w:t>
            </w:r>
          </w:p>
        </w:tc>
        <w:tc>
          <w:tcPr>
            <w:tcW w:type="dxa" w:w="3231"/>
            <w:vAlign w:val="top"/>
          </w:tcPr>
          <w:p>
            <w:pPr>
              <w:spacing w:after="0"/>
            </w:pPr>
            <w:r/>
            <w:r>
              <w:rPr>
                <w:rFonts w:ascii="Liberation Sans" w:hAnsi="Liberation Sans"/>
                <w:b w:val="0"/>
                <w:color w:val="42404C"/>
                <w:sz w:val="17"/>
              </w:rPr>
              <w:t>Eindeutige Indikatorfamilie</w:t>
            </w:r>
          </w:p>
        </w:tc>
        <w:tc>
          <w:tcPr>
            <w:tcW w:type="dxa" w:w="3572"/>
            <w:vAlign w:val="top"/>
          </w:tcPr>
          <w:p>
            <w:pPr>
              <w:spacing w:after="0"/>
            </w:pPr>
            <w:r/>
            <w:r>
              <w:rPr>
                <w:rFonts w:ascii="Liberation Sans" w:hAnsi="Liberation Sans"/>
                <w:b w:val="0"/>
                <w:color w:val="42404C"/>
                <w:sz w:val="17"/>
              </w:rPr>
              <w:t>Standardisierte Datennachweise</w:t>
            </w:r>
          </w:p>
        </w:tc>
      </w:tr>
      <w:tr>
        <w:tc>
          <w:tcPr>
            <w:tcW w:type="dxa" w:w="1701"/>
            <w:vAlign w:val="top"/>
          </w:tcPr>
          <w:p>
            <w:pPr>
              <w:spacing w:after="0"/>
            </w:pPr>
            <w:r/>
            <w:r>
              <w:rPr>
                <w:rFonts w:ascii="Liberation Sans" w:hAnsi="Liberation Sans"/>
                <w:b w:val="0"/>
                <w:color w:val="42404C"/>
                <w:sz w:val="17"/>
              </w:rPr>
              <w:t>Scorecard</w:t>
            </w:r>
          </w:p>
        </w:tc>
        <w:tc>
          <w:tcPr>
            <w:tcW w:type="dxa" w:w="3231"/>
            <w:vAlign w:val="top"/>
          </w:tcPr>
          <w:p>
            <w:pPr>
              <w:spacing w:after="0"/>
            </w:pPr>
            <w:r/>
            <w:r>
              <w:rPr>
                <w:rFonts w:ascii="Liberation Sans" w:hAnsi="Liberation Sans"/>
                <w:b w:val="0"/>
                <w:color w:val="42404C"/>
                <w:sz w:val="17"/>
              </w:rPr>
              <w:t>Bewertung nach Kriterien und Benchmarks</w:t>
            </w:r>
          </w:p>
        </w:tc>
        <w:tc>
          <w:tcPr>
            <w:tcW w:type="dxa" w:w="3572"/>
            <w:vAlign w:val="top"/>
          </w:tcPr>
          <w:p>
            <w:pPr>
              <w:spacing w:after="0"/>
            </w:pPr>
            <w:r/>
            <w:r>
              <w:rPr>
                <w:rFonts w:ascii="Liberation Sans" w:hAnsi="Liberation Sans"/>
                <w:b w:val="0"/>
                <w:color w:val="42404C"/>
                <w:sz w:val="17"/>
              </w:rPr>
              <w:t>Kredit-, Versicherungs- und Investmentprüfung</w:t>
            </w:r>
          </w:p>
        </w:tc>
      </w:tr>
      <w:tr>
        <w:tc>
          <w:tcPr>
            <w:tcW w:type="dxa" w:w="1701"/>
            <w:vAlign w:val="top"/>
          </w:tcPr>
          <w:p>
            <w:pPr>
              <w:spacing w:after="0"/>
            </w:pPr>
            <w:r/>
            <w:r>
              <w:rPr>
                <w:rFonts w:ascii="Liberation Sans" w:hAnsi="Liberation Sans"/>
                <w:b w:val="0"/>
                <w:color w:val="42404C"/>
                <w:sz w:val="17"/>
              </w:rPr>
              <w:t>NWI</w:t>
            </w:r>
          </w:p>
        </w:tc>
        <w:tc>
          <w:tcPr>
            <w:tcW w:type="dxa" w:w="3231"/>
            <w:vAlign w:val="top"/>
          </w:tcPr>
          <w:p>
            <w:pPr>
              <w:spacing w:after="0"/>
            </w:pPr>
            <w:r/>
            <w:r>
              <w:rPr>
                <w:rFonts w:ascii="Liberation Sans" w:hAnsi="Liberation Sans"/>
                <w:b w:val="0"/>
                <w:color w:val="42404C"/>
                <w:sz w:val="17"/>
              </w:rPr>
              <w:t>Netto-Wirkungs-Index</w:t>
            </w:r>
          </w:p>
        </w:tc>
        <w:tc>
          <w:tcPr>
            <w:tcW w:type="dxa" w:w="3572"/>
            <w:vAlign w:val="top"/>
          </w:tcPr>
          <w:p>
            <w:pPr>
              <w:spacing w:after="0"/>
            </w:pPr>
            <w:r/>
            <w:r>
              <w:rPr>
                <w:rFonts w:ascii="Liberation Sans" w:hAnsi="Liberation Sans"/>
                <w:b w:val="0"/>
                <w:color w:val="42404C"/>
                <w:sz w:val="17"/>
              </w:rPr>
              <w:t>Portfolio- und Projektbewertung</w:t>
            </w:r>
          </w:p>
        </w:tc>
      </w:tr>
      <w:tr>
        <w:tc>
          <w:tcPr>
            <w:tcW w:type="dxa" w:w="1701"/>
            <w:vAlign w:val="top"/>
          </w:tcPr>
          <w:p>
            <w:pPr>
              <w:spacing w:after="0"/>
            </w:pPr>
            <w:r/>
            <w:r>
              <w:rPr>
                <w:rFonts w:ascii="Liberation Sans" w:hAnsi="Liberation Sans"/>
                <w:b w:val="0"/>
                <w:color w:val="42404C"/>
                <w:sz w:val="17"/>
              </w:rPr>
              <w:t>T-SROI</w:t>
            </w:r>
          </w:p>
        </w:tc>
        <w:tc>
          <w:tcPr>
            <w:tcW w:type="dxa" w:w="3231"/>
            <w:vAlign w:val="top"/>
          </w:tcPr>
          <w:p>
            <w:pPr>
              <w:spacing w:after="0"/>
            </w:pPr>
            <w:r/>
            <w:r>
              <w:rPr>
                <w:rFonts w:ascii="Liberation Sans" w:hAnsi="Liberation Sans"/>
                <w:b w:val="0"/>
                <w:color w:val="42404C"/>
                <w:sz w:val="17"/>
              </w:rPr>
              <w:t>Transformationswirkung und Hebelwirkung</w:t>
            </w:r>
          </w:p>
        </w:tc>
        <w:tc>
          <w:tcPr>
            <w:tcW w:type="dxa" w:w="3572"/>
            <w:vAlign w:val="top"/>
          </w:tcPr>
          <w:p>
            <w:pPr>
              <w:spacing w:after="0"/>
            </w:pPr>
            <w:r/>
            <w:r>
              <w:rPr>
                <w:rFonts w:ascii="Liberation Sans" w:hAnsi="Liberation Sans"/>
                <w:b w:val="0"/>
                <w:color w:val="42404C"/>
                <w:sz w:val="17"/>
              </w:rPr>
              <w:t>Investitions- und Förderlogik</w:t>
            </w:r>
          </w:p>
        </w:tc>
      </w:tr>
      <w:tr>
        <w:tc>
          <w:tcPr>
            <w:tcW w:type="dxa" w:w="1701"/>
            <w:vAlign w:val="top"/>
          </w:tcPr>
          <w:p>
            <w:pPr>
              <w:spacing w:after="0"/>
            </w:pPr>
            <w:r/>
            <w:r>
              <w:rPr>
                <w:rFonts w:ascii="Liberation Sans" w:hAnsi="Liberation Sans"/>
                <w:b w:val="0"/>
                <w:color w:val="42404C"/>
                <w:sz w:val="17"/>
              </w:rPr>
              <w:t>Wirkungsrat</w:t>
            </w:r>
          </w:p>
        </w:tc>
        <w:tc>
          <w:tcPr>
            <w:tcW w:type="dxa" w:w="3231"/>
            <w:vAlign w:val="top"/>
          </w:tcPr>
          <w:p>
            <w:pPr>
              <w:spacing w:after="0"/>
            </w:pPr>
            <w:r/>
            <w:r>
              <w:rPr>
                <w:rFonts w:ascii="Liberation Sans" w:hAnsi="Liberation Sans"/>
                <w:b w:val="0"/>
                <w:color w:val="42404C"/>
                <w:sz w:val="17"/>
              </w:rPr>
              <w:t>Governance und Missbrauchsschutz</w:t>
            </w:r>
          </w:p>
        </w:tc>
        <w:tc>
          <w:tcPr>
            <w:tcW w:type="dxa" w:w="3572"/>
            <w:vAlign w:val="top"/>
          </w:tcPr>
          <w:p>
            <w:pPr>
              <w:spacing w:after="0"/>
            </w:pPr>
            <w:r/>
            <w:r>
              <w:rPr>
                <w:rFonts w:ascii="Liberation Sans" w:hAnsi="Liberation Sans"/>
                <w:b w:val="0"/>
                <w:color w:val="42404C"/>
                <w:sz w:val="17"/>
              </w:rPr>
              <w:t>Vertrauen in Daten und Methodik</w:t>
            </w:r>
          </w:p>
        </w:tc>
      </w:tr>
    </w:tbl>
    <w:p/>
    <w:p>
      <w:pPr>
        <w:pStyle w:val="Heading1"/>
      </w:pPr>
      <w:r>
        <w:t>13. Unternehmenspraxis: Was heute schon vorbereitet werden muss</w:t>
      </w:r>
    </w:p>
    <w:p>
      <w:r>
        <w:t>Unternehmen sollten die SDG- und Finanzmarktlogik nicht als spätes Reportingthema behandeln. Sie betrifft Strategie, Finanzierung, Einkauf, Produktentwicklung, Risikomanagement, Versicherbarkeit, Standortplanung, Personal, Kommunikation und Governance.</w:t>
      </w:r>
    </w:p>
    <w:p>
      <w:r>
        <w:t>Gerade für KMU ist eine pragmatische Einstiegslogik wichtig. Es geht nicht darum, sofort ein perfektes Wirkungscontrolling aufzubauen. Es geht darum, die wichtigsten Risiken, Daten und Rückkopplungen zu kennen: Welche Produkte oder Leistungen erzeugen relevante negative Wirkung? Welche Lieferketten sind kritisch? Welche Standorte oder Assets werden riskant? Welche Banken- oder Kundenfragen sind absehbar? Welche Daten sind bereits vorhanden?</w:t>
      </w:r>
    </w:p>
    <w:p>
      <w:pPr>
        <w:pStyle w:val="ListBullet"/>
      </w:pPr>
      <w:r>
        <w:t>SDG-/SDG+-Relevanz der eigenen Branche bestimmen.</w:t>
      </w:r>
    </w:p>
    <w:p>
      <w:pPr>
        <w:pStyle w:val="ListBullet"/>
      </w:pPr>
      <w:r>
        <w:t>Kredit- und Versicherungsanforderungen mit Banken und Versicherern früh klären.</w:t>
      </w:r>
    </w:p>
    <w:p>
      <w:pPr>
        <w:pStyle w:val="ListBullet"/>
      </w:pPr>
      <w:r>
        <w:t>Vorhandene Daten aus Energie, Material, Wasser, Personal, Lieferkette und Produktqualität bündeln.</w:t>
      </w:r>
    </w:p>
    <w:p>
      <w:pPr>
        <w:pStyle w:val="ListBullet"/>
      </w:pPr>
      <w:r>
        <w:t>Transformationsrisiken und Stranded-Asset-Risiken identifizieren.</w:t>
      </w:r>
    </w:p>
    <w:p>
      <w:pPr>
        <w:pStyle w:val="ListBullet"/>
      </w:pPr>
      <w:r>
        <w:t>Lieferanten- und Kundendatenanforderungen standardisieren.</w:t>
      </w:r>
    </w:p>
    <w:p>
      <w:pPr>
        <w:pStyle w:val="ListBullet"/>
      </w:pPr>
      <w:r>
        <w:t>Wirkungsorientierte Investitionsplanung mit T-SROI und NWI vorbereiten.</w:t>
      </w:r>
    </w:p>
    <w:p>
      <w:pPr>
        <w:pStyle w:val="ListBullet"/>
      </w:pPr>
      <w:r>
        <w:t>Keine SDG-Claims ohne belegbare Wirkung kommunizieren.</w:t>
      </w:r>
    </w:p>
    <w:p>
      <w:pPr>
        <w:pStyle w:val="Heading1"/>
      </w:pPr>
      <w:r>
        <w:t>14. Tool- und Dossierlogik für die Website</w:t>
      </w:r>
    </w:p>
    <w:p>
      <w:r>
        <w:t>Die Website sollte diesen Unterbereich nicht nur als Essay darstellen, sondern als praktischen Einstieg für Unternehmen, Banken, Politik und Bürger:innen. Besonders wichtig ist ein Tool „SDG-/Finanzmarkt-Anschlusscheck“: Es zeigt, welche SDGs für eine Branche relevant sind, welche Risiken daraus entstehen, welche Finanzmarktfragen wahrscheinlich werden und welche WÖk-Tools anschließen.</w:t>
      </w:r>
    </w:p>
    <w:p>
      <w:r>
        <w:t>Daneben braucht es ein Dossier mit Beispielen: Kreditprüfung eines energieintensiven KMU, Versicherbarkeit eines Gebäudebestands, ESG-Rating eines börsennotierten Unternehmens, Lieferkettenrisiko in der Textilbranche, Stranded-Asset-Risiko in Immobilien und Übergang zu Wirkungsfonds.</w:t>
      </w:r>
    </w:p>
    <w:tbl>
      <w:tblPr>
        <w:tblStyle w:val="TableGrid"/>
        <w:tblW w:type="auto" w:w="0"/>
        <w:jc w:val="center"/>
        <w:tblLook w:firstColumn="1" w:firstRow="1" w:lastColumn="0" w:lastRow="0" w:noHBand="0" w:noVBand="1" w:val="04A0"/>
      </w:tblPr>
      <w:tblGrid>
        <w:gridCol w:w="3324"/>
        <w:gridCol w:w="3324"/>
        <w:gridCol w:w="3324"/>
      </w:tblGrid>
      <w:tr>
        <w:tc>
          <w:tcPr>
            <w:tcW w:type="dxa" w:w="2381"/>
            <w:vAlign w:val="top"/>
            <w:shd w:fill="F3EFE6"/>
          </w:tcPr>
          <w:p>
            <w:pPr>
              <w:spacing w:after="0"/>
            </w:pPr>
            <w:r/>
            <w:r>
              <w:rPr>
                <w:rFonts w:ascii="Liberation Sans" w:hAnsi="Liberation Sans"/>
                <w:b/>
                <w:color w:val="080120"/>
                <w:sz w:val="17"/>
              </w:rPr>
              <w:t>Website-Modul</w:t>
            </w:r>
          </w:p>
        </w:tc>
        <w:tc>
          <w:tcPr>
            <w:tcW w:type="dxa" w:w="3969"/>
            <w:vAlign w:val="top"/>
            <w:shd w:fill="F3EFE6"/>
          </w:tcPr>
          <w:p>
            <w:pPr>
              <w:spacing w:after="0"/>
            </w:pPr>
            <w:r/>
            <w:r>
              <w:rPr>
                <w:rFonts w:ascii="Liberation Sans" w:hAnsi="Liberation Sans"/>
                <w:b/>
                <w:color w:val="080120"/>
                <w:sz w:val="17"/>
              </w:rPr>
              <w:t>Funktion</w:t>
            </w:r>
          </w:p>
        </w:tc>
        <w:tc>
          <w:tcPr>
            <w:tcW w:type="dxa" w:w="2268"/>
            <w:vAlign w:val="top"/>
            <w:shd w:fill="F3EFE6"/>
          </w:tcPr>
          <w:p>
            <w:pPr>
              <w:spacing w:after="0"/>
            </w:pPr>
            <w:r/>
            <w:r>
              <w:rPr>
                <w:rFonts w:ascii="Liberation Sans" w:hAnsi="Liberation Sans"/>
                <w:b/>
                <w:color w:val="080120"/>
                <w:sz w:val="17"/>
              </w:rPr>
              <w:t>Status</w:t>
            </w:r>
          </w:p>
        </w:tc>
      </w:tr>
      <w:tr>
        <w:tc>
          <w:tcPr>
            <w:tcW w:type="dxa" w:w="2381"/>
            <w:vAlign w:val="top"/>
          </w:tcPr>
          <w:p>
            <w:pPr>
              <w:spacing w:after="0"/>
            </w:pPr>
            <w:r/>
            <w:r>
              <w:rPr>
                <w:rFonts w:ascii="Liberation Sans" w:hAnsi="Liberation Sans"/>
                <w:b w:val="0"/>
                <w:color w:val="42404C"/>
                <w:sz w:val="17"/>
              </w:rPr>
              <w:t>Finanzmarkt-Anschlusscheck</w:t>
            </w:r>
          </w:p>
        </w:tc>
        <w:tc>
          <w:tcPr>
            <w:tcW w:type="dxa" w:w="3969"/>
            <w:vAlign w:val="top"/>
          </w:tcPr>
          <w:p>
            <w:pPr>
              <w:spacing w:after="0"/>
            </w:pPr>
            <w:r/>
            <w:r>
              <w:rPr>
                <w:rFonts w:ascii="Liberation Sans" w:hAnsi="Liberation Sans"/>
                <w:b w:val="0"/>
                <w:color w:val="42404C"/>
                <w:sz w:val="17"/>
              </w:rPr>
              <w:t>SDG-Risiken und Datenanforderungen je Unternehmen strukturieren</w:t>
            </w:r>
          </w:p>
        </w:tc>
        <w:tc>
          <w:tcPr>
            <w:tcW w:type="dxa" w:w="2268"/>
            <w:vAlign w:val="top"/>
          </w:tcPr>
          <w:p>
            <w:pPr>
              <w:spacing w:after="0"/>
            </w:pPr>
            <w:r/>
            <w:r>
              <w:rPr>
                <w:rFonts w:ascii="Liberation Sans" w:hAnsi="Liberation Sans"/>
                <w:b w:val="0"/>
                <w:color w:val="42404C"/>
                <w:sz w:val="17"/>
              </w:rPr>
              <w:t>Demo in Vorbereitung</w:t>
            </w:r>
          </w:p>
        </w:tc>
      </w:tr>
      <w:tr>
        <w:tc>
          <w:tcPr>
            <w:tcW w:type="dxa" w:w="2381"/>
            <w:vAlign w:val="top"/>
          </w:tcPr>
          <w:p>
            <w:pPr>
              <w:spacing w:after="0"/>
            </w:pPr>
            <w:r/>
            <w:r>
              <w:rPr>
                <w:rFonts w:ascii="Liberation Sans" w:hAnsi="Liberation Sans"/>
                <w:b w:val="0"/>
                <w:color w:val="42404C"/>
                <w:sz w:val="17"/>
              </w:rPr>
              <w:t>ESG-zu-WÖk-Mapping</w:t>
            </w:r>
          </w:p>
        </w:tc>
        <w:tc>
          <w:tcPr>
            <w:tcW w:type="dxa" w:w="3969"/>
            <w:vAlign w:val="top"/>
          </w:tcPr>
          <w:p>
            <w:pPr>
              <w:spacing w:after="0"/>
            </w:pPr>
            <w:r/>
            <w:r>
              <w:rPr>
                <w:rFonts w:ascii="Liberation Sans" w:hAnsi="Liberation Sans"/>
                <w:b w:val="0"/>
                <w:color w:val="42404C"/>
                <w:sz w:val="17"/>
              </w:rPr>
              <w:t>ESG-Daten in WÖk-IDs und Scorecards übersetzen</w:t>
            </w:r>
          </w:p>
        </w:tc>
        <w:tc>
          <w:tcPr>
            <w:tcW w:type="dxa" w:w="2268"/>
            <w:vAlign w:val="top"/>
          </w:tcPr>
          <w:p>
            <w:pPr>
              <w:spacing w:after="0"/>
            </w:pPr>
            <w:r/>
            <w:r>
              <w:rPr>
                <w:rFonts w:ascii="Liberation Sans" w:hAnsi="Liberation Sans"/>
                <w:b w:val="0"/>
                <w:color w:val="42404C"/>
                <w:sz w:val="17"/>
              </w:rPr>
              <w:t>Methodenpapier erforderlich</w:t>
            </w:r>
          </w:p>
        </w:tc>
      </w:tr>
      <w:tr>
        <w:tc>
          <w:tcPr>
            <w:tcW w:type="dxa" w:w="2381"/>
            <w:vAlign w:val="top"/>
          </w:tcPr>
          <w:p>
            <w:pPr>
              <w:spacing w:after="0"/>
            </w:pPr>
            <w:r/>
            <w:r>
              <w:rPr>
                <w:rFonts w:ascii="Liberation Sans" w:hAnsi="Liberation Sans"/>
                <w:b w:val="0"/>
                <w:color w:val="42404C"/>
                <w:sz w:val="17"/>
              </w:rPr>
              <w:t>Banken-Fragenkatalog</w:t>
            </w:r>
          </w:p>
        </w:tc>
        <w:tc>
          <w:tcPr>
            <w:tcW w:type="dxa" w:w="3969"/>
            <w:vAlign w:val="top"/>
          </w:tcPr>
          <w:p>
            <w:pPr>
              <w:spacing w:after="0"/>
            </w:pPr>
            <w:r/>
            <w:r>
              <w:rPr>
                <w:rFonts w:ascii="Liberation Sans" w:hAnsi="Liberation Sans"/>
                <w:b w:val="0"/>
                <w:color w:val="42404C"/>
                <w:sz w:val="17"/>
              </w:rPr>
              <w:t>Typische Kreditfragen und mögliche Datenantworten</w:t>
            </w:r>
          </w:p>
        </w:tc>
        <w:tc>
          <w:tcPr>
            <w:tcW w:type="dxa" w:w="2268"/>
            <w:vAlign w:val="top"/>
          </w:tcPr>
          <w:p>
            <w:pPr>
              <w:spacing w:after="0"/>
            </w:pPr>
            <w:r/>
            <w:r>
              <w:rPr>
                <w:rFonts w:ascii="Liberation Sans" w:hAnsi="Liberation Sans"/>
                <w:b w:val="0"/>
                <w:color w:val="42404C"/>
                <w:sz w:val="17"/>
              </w:rPr>
              <w:t>Online-Dossier</w:t>
            </w:r>
          </w:p>
        </w:tc>
      </w:tr>
      <w:tr>
        <w:tc>
          <w:tcPr>
            <w:tcW w:type="dxa" w:w="2381"/>
            <w:vAlign w:val="top"/>
          </w:tcPr>
          <w:p>
            <w:pPr>
              <w:spacing w:after="0"/>
            </w:pPr>
            <w:r/>
            <w:r>
              <w:rPr>
                <w:rFonts w:ascii="Liberation Sans" w:hAnsi="Liberation Sans"/>
                <w:b w:val="0"/>
                <w:color w:val="42404C"/>
                <w:sz w:val="17"/>
              </w:rPr>
              <w:t>Versicherbarkeitscheck</w:t>
            </w:r>
          </w:p>
        </w:tc>
        <w:tc>
          <w:tcPr>
            <w:tcW w:type="dxa" w:w="3969"/>
            <w:vAlign w:val="top"/>
          </w:tcPr>
          <w:p>
            <w:pPr>
              <w:spacing w:after="0"/>
            </w:pPr>
            <w:r/>
            <w:r>
              <w:rPr>
                <w:rFonts w:ascii="Liberation Sans" w:hAnsi="Liberation Sans"/>
                <w:b w:val="0"/>
                <w:color w:val="42404C"/>
                <w:sz w:val="17"/>
              </w:rPr>
              <w:t>Physische Risiken, Prävention und Resilienz einschätzen</w:t>
            </w:r>
          </w:p>
        </w:tc>
        <w:tc>
          <w:tcPr>
            <w:tcW w:type="dxa" w:w="2268"/>
            <w:vAlign w:val="top"/>
          </w:tcPr>
          <w:p>
            <w:pPr>
              <w:spacing w:after="0"/>
            </w:pPr>
            <w:r/>
            <w:r>
              <w:rPr>
                <w:rFonts w:ascii="Liberation Sans" w:hAnsi="Liberation Sans"/>
                <w:b w:val="0"/>
                <w:color w:val="42404C"/>
                <w:sz w:val="17"/>
              </w:rPr>
              <w:t>Tool-Spezifikation</w:t>
            </w:r>
          </w:p>
        </w:tc>
      </w:tr>
      <w:tr>
        <w:tc>
          <w:tcPr>
            <w:tcW w:type="dxa" w:w="2381"/>
            <w:vAlign w:val="top"/>
          </w:tcPr>
          <w:p>
            <w:pPr>
              <w:spacing w:after="0"/>
            </w:pPr>
            <w:r/>
            <w:r>
              <w:rPr>
                <w:rFonts w:ascii="Liberation Sans" w:hAnsi="Liberation Sans"/>
                <w:b w:val="0"/>
                <w:color w:val="42404C"/>
                <w:sz w:val="17"/>
              </w:rPr>
              <w:t>SDG-Risikomatrix</w:t>
            </w:r>
          </w:p>
        </w:tc>
        <w:tc>
          <w:tcPr>
            <w:tcW w:type="dxa" w:w="3969"/>
            <w:vAlign w:val="top"/>
          </w:tcPr>
          <w:p>
            <w:pPr>
              <w:spacing w:after="0"/>
            </w:pPr>
            <w:r/>
            <w:r>
              <w:rPr>
                <w:rFonts w:ascii="Liberation Sans" w:hAnsi="Liberation Sans"/>
                <w:b w:val="0"/>
                <w:color w:val="42404C"/>
                <w:sz w:val="17"/>
              </w:rPr>
              <w:t>17 SDGs als Risikofelder erklären</w:t>
            </w:r>
          </w:p>
        </w:tc>
        <w:tc>
          <w:tcPr>
            <w:tcW w:type="dxa" w:w="2268"/>
            <w:vAlign w:val="top"/>
          </w:tcPr>
          <w:p>
            <w:pPr>
              <w:spacing w:after="0"/>
            </w:pPr>
            <w:r/>
            <w:r>
              <w:rPr>
                <w:rFonts w:ascii="Liberation Sans" w:hAnsi="Liberation Sans"/>
                <w:b w:val="0"/>
                <w:color w:val="42404C"/>
                <w:sz w:val="17"/>
              </w:rPr>
              <w:t>Online-Volltext und Download</w:t>
            </w:r>
          </w:p>
        </w:tc>
      </w:tr>
    </w:tbl>
    <w:p/>
    <w:p>
      <w:pPr>
        <w:pStyle w:val="Heading1"/>
      </w:pPr>
      <w:r>
        <w:t>15. Politische Anschlussfähigkeit und Umsetzungsoptionen</w:t>
      </w:r>
    </w:p>
    <w:p>
      <w:r>
        <w:t>Politik muss den Finanzmarkt-Anschluss der SDGs so gestalten, dass er nicht zu technokratischer Überforderung führt. Ziel ist nicht, jedes Unternehmen in Bürokratie zu ersticken, sondern Datenanforderungen zu standardisieren, Mehrfachabfragen zu reduzieren und echte Risiken sichtbar zu machen.</w:t>
      </w:r>
    </w:p>
    <w:p>
      <w:r>
        <w:t>Unterschiedliche Parteien können verschiedene Wege wählen: stärkere Regulierung, stärkere Förderung, freiwillige Übergänge, steuerliche Anreize, öffentliche Beschaffung, KMU-Entlastung, digitale Infrastruktur oder öffentliche Wirkungsfonds. Entscheidend ist, dass Wirkung sichtbar, überprüfbar und korrigierbar bleibt.</w:t>
      </w:r>
    </w:p>
    <w:tbl>
      <w:tblPr>
        <w:tblStyle w:val="TableGrid"/>
        <w:tblW w:type="auto" w:w="0"/>
        <w:jc w:val="center"/>
        <w:tblLook w:firstColumn="1" w:firstRow="1" w:lastColumn="0" w:lastRow="0" w:noHBand="0" w:noVBand="1" w:val="04A0"/>
      </w:tblPr>
      <w:tblGrid>
        <w:gridCol w:w="4986"/>
        <w:gridCol w:w="4986"/>
      </w:tblGrid>
      <w:tr>
        <w:tc>
          <w:tcPr>
            <w:tcW w:type="dxa" w:w="2381"/>
            <w:vAlign w:val="top"/>
            <w:shd w:fill="F3EFE6"/>
          </w:tcPr>
          <w:p>
            <w:pPr>
              <w:spacing w:after="0"/>
            </w:pPr>
            <w:r/>
            <w:r>
              <w:rPr>
                <w:rFonts w:ascii="Liberation Sans" w:hAnsi="Liberation Sans"/>
                <w:b/>
                <w:color w:val="080120"/>
                <w:sz w:val="17"/>
              </w:rPr>
              <w:t>Ebene</w:t>
            </w:r>
          </w:p>
        </w:tc>
        <w:tc>
          <w:tcPr>
            <w:tcW w:type="dxa" w:w="6236"/>
            <w:vAlign w:val="top"/>
            <w:shd w:fill="F3EFE6"/>
          </w:tcPr>
          <w:p>
            <w:pPr>
              <w:spacing w:after="0"/>
            </w:pPr>
            <w:r/>
            <w:r>
              <w:rPr>
                <w:rFonts w:ascii="Liberation Sans" w:hAnsi="Liberation Sans"/>
                <w:b/>
                <w:color w:val="080120"/>
                <w:sz w:val="17"/>
              </w:rPr>
              <w:t>Aufgabe für Politik und Umsetzung</w:t>
            </w:r>
          </w:p>
        </w:tc>
      </w:tr>
      <w:tr>
        <w:tc>
          <w:tcPr>
            <w:tcW w:type="dxa" w:w="2381"/>
            <w:vAlign w:val="top"/>
          </w:tcPr>
          <w:p>
            <w:pPr>
              <w:spacing w:after="0"/>
            </w:pPr>
            <w:r/>
            <w:r>
              <w:rPr>
                <w:rFonts w:ascii="Liberation Sans" w:hAnsi="Liberation Sans"/>
                <w:b w:val="0"/>
                <w:color w:val="42404C"/>
                <w:sz w:val="17"/>
              </w:rPr>
              <w:t>Aufgabe der Politik</w:t>
            </w:r>
          </w:p>
        </w:tc>
        <w:tc>
          <w:tcPr>
            <w:tcW w:type="dxa" w:w="6236"/>
            <w:vAlign w:val="top"/>
          </w:tcPr>
          <w:p>
            <w:pPr>
              <w:spacing w:after="0"/>
            </w:pPr>
            <w:r/>
            <w:r>
              <w:rPr>
                <w:rFonts w:ascii="Liberation Sans" w:hAnsi="Liberation Sans"/>
                <w:b w:val="0"/>
                <w:color w:val="42404C"/>
                <w:sz w:val="17"/>
              </w:rPr>
              <w:t>SDG-/ESG-Daten als Risikoinfrastruktur erklären und zugleich Bürokratie begrenzen.</w:t>
            </w:r>
          </w:p>
        </w:tc>
      </w:tr>
      <w:tr>
        <w:tc>
          <w:tcPr>
            <w:tcW w:type="dxa" w:w="2381"/>
            <w:vAlign w:val="top"/>
          </w:tcPr>
          <w:p>
            <w:pPr>
              <w:spacing w:after="0"/>
            </w:pPr>
            <w:r/>
            <w:r>
              <w:rPr>
                <w:rFonts w:ascii="Liberation Sans" w:hAnsi="Liberation Sans"/>
                <w:b w:val="0"/>
                <w:color w:val="42404C"/>
                <w:sz w:val="17"/>
              </w:rPr>
              <w:t>Politische Rahmenbedingungen</w:t>
            </w:r>
          </w:p>
        </w:tc>
        <w:tc>
          <w:tcPr>
            <w:tcW w:type="dxa" w:w="6236"/>
            <w:vAlign w:val="top"/>
          </w:tcPr>
          <w:p>
            <w:pPr>
              <w:spacing w:after="0"/>
            </w:pPr>
            <w:r/>
            <w:r>
              <w:rPr>
                <w:rFonts w:ascii="Liberation Sans" w:hAnsi="Liberation Sans"/>
                <w:b w:val="0"/>
                <w:color w:val="42404C"/>
                <w:sz w:val="17"/>
              </w:rPr>
              <w:t>Standardisierte Datenräume, KMU-Schutz, klare Schwellen, Wirkungsrat, Datenschutz und Rechtsschutz.</w:t>
            </w:r>
          </w:p>
        </w:tc>
      </w:tr>
      <w:tr>
        <w:tc>
          <w:tcPr>
            <w:tcW w:type="dxa" w:w="2381"/>
            <w:vAlign w:val="top"/>
          </w:tcPr>
          <w:p>
            <w:pPr>
              <w:spacing w:after="0"/>
            </w:pPr>
            <w:r/>
            <w:r>
              <w:rPr>
                <w:rFonts w:ascii="Liberation Sans" w:hAnsi="Liberation Sans"/>
                <w:b w:val="0"/>
                <w:color w:val="42404C"/>
                <w:sz w:val="17"/>
              </w:rPr>
              <w:t>Ausgestaltungsspielraum</w:t>
            </w:r>
          </w:p>
        </w:tc>
        <w:tc>
          <w:tcPr>
            <w:tcW w:type="dxa" w:w="6236"/>
            <w:vAlign w:val="top"/>
          </w:tcPr>
          <w:p>
            <w:pPr>
              <w:spacing w:after="0"/>
            </w:pPr>
            <w:r/>
            <w:r>
              <w:rPr>
                <w:rFonts w:ascii="Liberation Sans" w:hAnsi="Liberation Sans"/>
                <w:b w:val="0"/>
                <w:color w:val="42404C"/>
                <w:sz w:val="17"/>
              </w:rPr>
              <w:t>Förderung, Regulierung, Pilotierung, Steueranreize und öffentliche Beschaffung unterschiedlich gewichten.</w:t>
            </w:r>
          </w:p>
        </w:tc>
      </w:tr>
      <w:tr>
        <w:tc>
          <w:tcPr>
            <w:tcW w:type="dxa" w:w="2381"/>
            <w:vAlign w:val="top"/>
          </w:tcPr>
          <w:p>
            <w:pPr>
              <w:spacing w:after="0"/>
            </w:pPr>
            <w:r/>
            <w:r>
              <w:rPr>
                <w:rFonts w:ascii="Liberation Sans" w:hAnsi="Liberation Sans"/>
                <w:b w:val="0"/>
                <w:color w:val="42404C"/>
                <w:sz w:val="17"/>
              </w:rPr>
              <w:t>Zielkonflikte</w:t>
            </w:r>
          </w:p>
        </w:tc>
        <w:tc>
          <w:tcPr>
            <w:tcW w:type="dxa" w:w="6236"/>
            <w:vAlign w:val="top"/>
          </w:tcPr>
          <w:p>
            <w:pPr>
              <w:spacing w:after="0"/>
            </w:pPr>
            <w:r/>
            <w:r>
              <w:rPr>
                <w:rFonts w:ascii="Liberation Sans" w:hAnsi="Liberation Sans"/>
                <w:b w:val="0"/>
                <w:color w:val="42404C"/>
                <w:sz w:val="17"/>
              </w:rPr>
              <w:t>Datenqualität vs. Aufwand, Wettbewerbsfähigkeit vs. Wirkung, Übergangskosten vs. Langfristrisiken.</w:t>
            </w:r>
          </w:p>
        </w:tc>
      </w:tr>
      <w:tr>
        <w:tc>
          <w:tcPr>
            <w:tcW w:type="dxa" w:w="2381"/>
            <w:vAlign w:val="top"/>
          </w:tcPr>
          <w:p>
            <w:pPr>
              <w:spacing w:after="0"/>
            </w:pPr>
            <w:r/>
            <w:r>
              <w:rPr>
                <w:rFonts w:ascii="Liberation Sans" w:hAnsi="Liberation Sans"/>
                <w:b w:val="0"/>
                <w:color w:val="42404C"/>
                <w:sz w:val="17"/>
              </w:rPr>
              <w:t>Rollenverteilung</w:t>
            </w:r>
          </w:p>
        </w:tc>
        <w:tc>
          <w:tcPr>
            <w:tcW w:type="dxa" w:w="6236"/>
            <w:vAlign w:val="top"/>
          </w:tcPr>
          <w:p>
            <w:pPr>
              <w:spacing w:after="0"/>
            </w:pPr>
            <w:r/>
            <w:r>
              <w:rPr>
                <w:rFonts w:ascii="Liberation Sans" w:hAnsi="Liberation Sans"/>
                <w:b w:val="0"/>
                <w:color w:val="42404C"/>
                <w:sz w:val="17"/>
              </w:rPr>
              <w:t>EU, Bund, Länder, Banken, Versicherer, Unternehmen, Wirtschaftsprüfer, Wissenschaft und Zivilgesellschaft.</w:t>
            </w:r>
          </w:p>
        </w:tc>
      </w:tr>
      <w:tr>
        <w:tc>
          <w:tcPr>
            <w:tcW w:type="dxa" w:w="2381"/>
            <w:vAlign w:val="top"/>
          </w:tcPr>
          <w:p>
            <w:pPr>
              <w:spacing w:after="0"/>
            </w:pPr>
            <w:r/>
            <w:r>
              <w:rPr>
                <w:rFonts w:ascii="Liberation Sans" w:hAnsi="Liberation Sans"/>
                <w:b w:val="0"/>
                <w:color w:val="42404C"/>
                <w:sz w:val="17"/>
              </w:rPr>
              <w:t>Schutz vor Technokratie</w:t>
            </w:r>
          </w:p>
        </w:tc>
        <w:tc>
          <w:tcPr>
            <w:tcW w:type="dxa" w:w="6236"/>
            <w:vAlign w:val="top"/>
          </w:tcPr>
          <w:p>
            <w:pPr>
              <w:spacing w:after="0"/>
            </w:pPr>
            <w:r/>
            <w:r>
              <w:rPr>
                <w:rFonts w:ascii="Liberation Sans" w:hAnsi="Liberation Sans"/>
                <w:b w:val="0"/>
                <w:color w:val="42404C"/>
                <w:sz w:val="17"/>
              </w:rPr>
              <w:t>Wirkungsdaten ersetzen keine politischen Entscheidungen; sie machen Folgen sichtbar.</w:t>
            </w:r>
          </w:p>
        </w:tc>
      </w:tr>
      <w:tr>
        <w:tc>
          <w:tcPr>
            <w:tcW w:type="dxa" w:w="2381"/>
            <w:vAlign w:val="top"/>
          </w:tcPr>
          <w:p>
            <w:pPr>
              <w:spacing w:after="0"/>
            </w:pPr>
            <w:r/>
            <w:r>
              <w:rPr>
                <w:rFonts w:ascii="Liberation Sans" w:hAnsi="Liberation Sans"/>
                <w:b w:val="0"/>
                <w:color w:val="42404C"/>
                <w:sz w:val="17"/>
              </w:rPr>
              <w:t>Evaluation</w:t>
            </w:r>
          </w:p>
        </w:tc>
        <w:tc>
          <w:tcPr>
            <w:tcW w:type="dxa" w:w="6236"/>
            <w:vAlign w:val="top"/>
          </w:tcPr>
          <w:p>
            <w:pPr>
              <w:spacing w:after="0"/>
            </w:pPr>
            <w:r/>
            <w:r>
              <w:rPr>
                <w:rFonts w:ascii="Liberation Sans" w:hAnsi="Liberation Sans"/>
                <w:b w:val="0"/>
                <w:color w:val="42404C"/>
                <w:sz w:val="17"/>
              </w:rPr>
              <w:t>Regelmäßige Prüfung von Aufwand, Wirksamkeit, Missbrauch, KMU-Belastung und Finanzmarktreaktionen.</w:t>
            </w:r>
          </w:p>
        </w:tc>
      </w:tr>
    </w:tbl>
    <w:p/>
    <w:p>
      <w:pPr>
        <w:pStyle w:val="Heading1"/>
      </w:pPr>
      <w:r>
        <w:t>16. Quellen und Referenzen</w:t>
      </w:r>
    </w:p>
    <w:p>
      <w:r>
        <w:t>Auswahl offizieller und tragender Quellen für die öffentliche Website-Fassung:</w:t>
      </w:r>
    </w:p>
    <w:p>
      <w:pPr>
        <w:pStyle w:val="ListBullet"/>
      </w:pPr>
      <w:r>
        <w:t>United Nations Sustainable Development Goals: https://sdgs.un.org/goals</w:t>
      </w:r>
    </w:p>
    <w:p>
      <w:pPr>
        <w:pStyle w:val="ListBullet"/>
      </w:pPr>
      <w:r>
        <w:t>Transforming our world: The 2030 Agenda for Sustainable Development: https://sdgs.un.org/2030agenda</w:t>
      </w:r>
    </w:p>
    <w:p>
      <w:pPr>
        <w:pStyle w:val="ListBullet"/>
      </w:pPr>
      <w:r>
        <w:t>European Commission - Corporate sustainability reporting / CSRD: https://finance.ec.europa.eu/financial-markets/company-reporting-and-auditing/company-reporting/corporate-sustainability-reporting_en</w:t>
      </w:r>
    </w:p>
    <w:p>
      <w:pPr>
        <w:pStyle w:val="ListBullet"/>
      </w:pPr>
      <w:r>
        <w:t>European Commission - EU taxonomy for sustainable activities: https://finance.ec.europa.eu/sustainable-finance/tools-and-standards/eu-taxonomy-sustainable-activities_en</w:t>
      </w:r>
    </w:p>
    <w:p>
      <w:pPr>
        <w:pStyle w:val="ListBullet"/>
      </w:pPr>
      <w:r>
        <w:t>European Banking Authority - Guidelines on management of ESG risks: https://www.eba.europa.eu/activities/single-rulebook/regulatory-activities/sustainable-finance/guidelines-management-esg-risks</w:t>
      </w:r>
    </w:p>
    <w:p>
      <w:pPr>
        <w:pStyle w:val="ListBullet"/>
      </w:pPr>
      <w:r>
        <w:t>IFRS Foundation / ISSB Sustainability Disclosure Standards: https://www.ifrs.org/sustainability/</w:t>
      </w:r>
    </w:p>
    <w:p>
      <w:pPr>
        <w:pStyle w:val="ListBullet"/>
      </w:pPr>
      <w:r>
        <w:t>Task Force on Climate-related Financial Disclosures: https://www.fsb-tcfd.org/recommendations/</w:t>
      </w:r>
    </w:p>
    <w:p>
      <w:pPr>
        <w:pStyle w:val="ListBullet"/>
      </w:pPr>
      <w:r>
        <w:t>Führender Begriffsleitfaden der Wirkungsökonomie, Natalie Weber, 2026</w:t>
      </w:r>
    </w:p>
    <w:p>
      <w:pPr>
        <w:pStyle w:val="ListBullet"/>
      </w:pPr>
      <w:r>
        <w:t>Die neue Ordnung des Wohlstands, Natalie Weber, 2026</w:t>
      </w:r>
    </w:p>
    <w:p>
      <w:pPr>
        <w:pStyle w:val="ListBullet"/>
      </w:pPr>
      <w:r>
        <w:t>WÖk Master Items / WÖk-ID-Indikatorfamilien, Natalie Weber</w:t>
      </w:r>
    </w:p>
    <w:sectPr w:rsidR="00FC693F" w:rsidRPr="0006063C" w:rsidSect="00034616">
      <w:headerReference w:type="default" r:id="rId9"/>
      <w:footerReference w:type="default" r:id="rId10"/>
      <w:pgSz w:w="12240" w:h="15840"/>
      <w:pgMar w:top="1020" w:right="1134" w:bottom="1020" w:left="1134"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Liberation Sans" w:hAnsi="Liberation Sans"/>
        <w:color w:val="42404C"/>
        <w:sz w:val="16"/>
      </w:rPr>
      <w:t>Natalie Weber · Wirkungsökonomie · SDG-Finanzmarkt · v1.0</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
      <w:rPr>
        <w:rFonts w:ascii="Liberation Sans" w:hAnsi="Liberation Sans"/>
        <w:b/>
        <w:color w:val="2F7D5C"/>
        <w:sz w:val="16"/>
      </w:rPr>
      <w:t>WIRKUNGSÖKONOMIE · DETAILKONZEPT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59" w:lineRule="auto" w:after="120"/>
    </w:pPr>
    <w:rPr>
      <w:rFonts w:ascii="Liberation Sans" w:hAnsi="Liberation Sans"/>
      <w:color w:val="42404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20"/>
      <w:outlineLvl w:val="0"/>
    </w:pPr>
    <w:rPr>
      <w:rFonts w:asciiTheme="majorHAnsi" w:eastAsiaTheme="majorEastAsia" w:hAnsiTheme="majorHAnsi" w:cstheme="majorBidi" w:ascii="Liberation Serif" w:hAnsi="Liberation Serif"/>
      <w:b/>
      <w:bCs/>
      <w:color w:val="080120"/>
      <w:sz w:val="36"/>
      <w:szCs w:val="28"/>
    </w:rPr>
  </w:style>
  <w:style w:type="paragraph" w:styleId="Heading2">
    <w:name w:val="heading 2"/>
    <w:basedOn w:val="Normal"/>
    <w:next w:val="Normal"/>
    <w:link w:val="Heading2Char"/>
    <w:uiPriority w:val="9"/>
    <w:unhideWhenUsed/>
    <w:qFormat/>
    <w:rsid w:val="00FC693F"/>
    <w:pPr>
      <w:keepNext/>
      <w:keepLines/>
      <w:spacing w:before="200" w:after="120"/>
      <w:outlineLvl w:val="1"/>
    </w:pPr>
    <w:rPr>
      <w:rFonts w:asciiTheme="majorHAnsi" w:eastAsiaTheme="majorEastAsia" w:hAnsiTheme="majorHAnsi" w:cstheme="majorBidi" w:ascii="Liberation Serif" w:hAnsi="Liberation Serif"/>
      <w:b/>
      <w:bCs/>
      <w:color w:val="080120"/>
      <w:sz w:val="26"/>
      <w:szCs w:val="26"/>
    </w:rPr>
  </w:style>
  <w:style w:type="paragraph" w:styleId="Heading3">
    <w:name w:val="heading 3"/>
    <w:basedOn w:val="Normal"/>
    <w:next w:val="Normal"/>
    <w:link w:val="Heading3Char"/>
    <w:uiPriority w:val="9"/>
    <w:unhideWhenUsed/>
    <w:qFormat/>
    <w:rsid w:val="00FC693F"/>
    <w:pPr>
      <w:keepNext/>
      <w:keepLines/>
      <w:spacing w:before="200" w:after="120"/>
      <w:outlineLvl w:val="2"/>
    </w:pPr>
    <w:rPr>
      <w:rFonts w:asciiTheme="majorHAnsi" w:eastAsiaTheme="majorEastAsia" w:hAnsiTheme="majorHAnsi" w:cstheme="majorBidi" w:ascii="Liberation Serif" w:hAnsi="Liberation Serif"/>
      <w:b/>
      <w:bCs/>
      <w:color w:val="2F7D5C"/>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20" w:line="240" w:lineRule="auto" w:before="0"/>
      <w:contextualSpacing/>
    </w:pPr>
    <w:rPr>
      <w:rFonts w:asciiTheme="majorHAnsi" w:eastAsiaTheme="majorEastAsia" w:hAnsiTheme="majorHAnsi" w:cstheme="majorBidi" w:ascii="Liberation Serif" w:hAnsi="Liberation Serif"/>
      <w:b/>
      <w:color w:val="080120"/>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WOEKQuote">
    <w:name w:val="WOEK Quote"/>
    <w:pPr>
      <w:spacing w:before="160" w:after="160"/>
      <w:ind w:left="340" w:right="340"/>
    </w:pPr>
    <w:rPr>
      <w:rFonts w:ascii="Liberation Serif" w:hAnsi="Liberation Serif"/>
      <w:i/>
      <w:color w:val="080120"/>
      <w:sz w:val="26"/>
    </w:rPr>
  </w:style>
  <w:style w:type="paragraph" w:customStyle="1" w:styleId="WOEKLabel">
    <w:name w:val="WOEK Label"/>
    <w:pPr>
      <w:spacing w:after="40"/>
    </w:pPr>
    <w:rPr>
      <w:rFonts w:ascii="Liberation Sans" w:hAnsi="Liberation Sans"/>
      <w:b/>
      <w:color w:val="2F7D5C"/>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