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ÖkLabel"/>
      </w:pPr>
      <w:r>
        <w:rPr>
          <w:b/>
        </w:rPr>
        <w:t>WIRKUNGSÖKONOMIE</w:t>
      </w:r>
    </w:p>
    <w:p>
      <w:r>
        <w:rPr>
          <w:rFonts w:ascii="Arial" w:hAnsi="Arial"/>
          <w:b/>
          <w:color w:val="2B7D5C"/>
          <w:sz w:val="22"/>
        </w:rPr>
        <w:t>DETAILKONZEPT</w:t>
      </w:r>
    </w:p>
    <w:p>
      <w:pPr>
        <w:jc w:val="left"/>
      </w:pPr>
      <w:r>
        <w:rPr>
          <w:rFonts w:ascii="Georgia" w:hAnsi="Georgia" w:eastAsia="Georgia"/>
          <w:b/>
          <w:color w:val="0B1020"/>
          <w:sz w:val="50"/>
        </w:rPr>
        <w:t>Wirkungsorientierte Unternehmensführung inkl. Mitarbeiterführung</w:t>
      </w:r>
    </w:p>
    <w:p>
      <w:r>
        <w:rPr>
          <w:rFonts w:ascii="Georgia" w:hAnsi="Georgia"/>
          <w:color w:val="2B2D2E"/>
          <w:sz w:val="26"/>
        </w:rPr>
        <w:t>Führung als Systemsteuerung, Wirkungskompetenz, Teamräume und Verantwortung ohne Personen-Scoring</w:t>
      </w:r>
    </w:p>
    <w:p>
      <w:pPr>
        <w:pStyle w:val="WÖkQuote"/>
      </w:pPr>
      <w:r>
        <w:t>„Führung ist nicht Kontrolle über Menschen, sondern Verantwortung für Wirkungsräume.“</w:t>
      </w:r>
    </w:p>
    <w:tbl>
      <w:tblPr>
        <w:tblW w:type="auto" w:w="0"/>
        <w:jc w:val="left"/>
        <w:tblLook w:firstColumn="1" w:firstRow="1" w:lastColumn="0" w:lastRow="0" w:noHBand="0" w:noVBand="1" w:val="04A0"/>
      </w:tblPr>
      <w:tblGrid>
        <w:gridCol w:w="5100"/>
        <w:gridCol w:w="5100"/>
      </w:tblGrid>
      <w:tr>
        <w:tc>
          <w:tcPr>
            <w:tcW w:type="dxa" w:w="2268"/>
            <w:shd w:fill="F6F1E8"/>
            <w:vAlign w:val="center"/>
          </w:tcPr>
          <w:p>
            <w:pPr>
              <w:spacing w:after="0"/>
            </w:pPr>
            <w:r>
              <w:rPr>
                <w:b/>
                <w:color w:val="0B1020"/>
                <w:sz w:val="18"/>
              </w:rPr>
              <w:t>Autorin</w:t>
            </w:r>
          </w:p>
        </w:tc>
        <w:tc>
          <w:tcPr>
            <w:tcW w:type="dxa" w:w="6803"/>
            <w:shd w:fill="FFFFFF"/>
            <w:vAlign w:val="center"/>
          </w:tcPr>
          <w:p>
            <w:pPr>
              <w:spacing w:after="0"/>
            </w:pPr>
            <w:r>
              <w:rPr>
                <w:b w:val="0"/>
                <w:color w:val="2B2D2E"/>
                <w:sz w:val="18"/>
              </w:rPr>
              <w:t>Natalie Weber</w:t>
            </w:r>
          </w:p>
        </w:tc>
      </w:tr>
      <w:tr>
        <w:tc>
          <w:tcPr>
            <w:tcW w:type="dxa" w:w="2268"/>
            <w:shd w:fill="F6F1E8"/>
            <w:vAlign w:val="center"/>
          </w:tcPr>
          <w:p>
            <w:pPr>
              <w:spacing w:after="0"/>
            </w:pPr>
            <w:r>
              <w:rPr>
                <w:b/>
                <w:color w:val="0B1020"/>
                <w:sz w:val="18"/>
              </w:rPr>
              <w:t>Referenz</w:t>
            </w:r>
          </w:p>
        </w:tc>
        <w:tc>
          <w:tcPr>
            <w:tcW w:type="dxa" w:w="6803"/>
            <w:shd w:fill="FFFFFF"/>
            <w:vAlign w:val="center"/>
          </w:tcPr>
          <w:p>
            <w:pPr>
              <w:spacing w:after="0"/>
            </w:pPr>
            <w:r>
              <w:rPr>
                <w:b w:val="0"/>
                <w:color w:val="2B2D2E"/>
                <w:sz w:val="18"/>
              </w:rPr>
              <w:t>Wirkungsökonomie</w:t>
            </w:r>
          </w:p>
        </w:tc>
      </w:tr>
      <w:tr>
        <w:tc>
          <w:tcPr>
            <w:tcW w:type="dxa" w:w="2268"/>
            <w:shd w:fill="F6F1E8"/>
            <w:vAlign w:val="center"/>
          </w:tcPr>
          <w:p>
            <w:pPr>
              <w:spacing w:after="0"/>
            </w:pPr>
            <w:r>
              <w:rPr>
                <w:b/>
                <w:color w:val="0B1020"/>
                <w:sz w:val="18"/>
              </w:rPr>
              <w:t>Version</w:t>
            </w:r>
          </w:p>
        </w:tc>
        <w:tc>
          <w:tcPr>
            <w:tcW w:type="dxa" w:w="6803"/>
            <w:shd w:fill="FFFFFF"/>
            <w:vAlign w:val="center"/>
          </w:tcPr>
          <w:p>
            <w:pPr>
              <w:spacing w:after="0"/>
            </w:pPr>
            <w:r>
              <w:rPr>
                <w:b w:val="0"/>
                <w:color w:val="2B2D2E"/>
                <w:sz w:val="18"/>
              </w:rPr>
              <w:t>v1.0</w:t>
            </w:r>
          </w:p>
        </w:tc>
      </w:tr>
      <w:tr>
        <w:tc>
          <w:tcPr>
            <w:tcW w:type="dxa" w:w="2268"/>
            <w:shd w:fill="F6F1E8"/>
            <w:vAlign w:val="center"/>
          </w:tcPr>
          <w:p>
            <w:pPr>
              <w:spacing w:after="0"/>
            </w:pPr>
            <w:r>
              <w:rPr>
                <w:b/>
                <w:color w:val="0B1020"/>
                <w:sz w:val="18"/>
              </w:rPr>
              <w:t>Status</w:t>
            </w:r>
          </w:p>
        </w:tc>
        <w:tc>
          <w:tcPr>
            <w:tcW w:type="dxa" w:w="6803"/>
            <w:shd w:fill="FFFFFF"/>
            <w:vAlign w:val="center"/>
          </w:tcPr>
          <w:p>
            <w:pPr>
              <w:spacing w:after="0"/>
            </w:pPr>
            <w:r>
              <w:rPr>
                <w:b w:val="0"/>
                <w:color w:val="2B2D2E"/>
                <w:sz w:val="18"/>
              </w:rPr>
              <w:t>öffentliche Detailausarbeitung</w:t>
            </w:r>
          </w:p>
        </w:tc>
      </w:tr>
      <w:tr>
        <w:tc>
          <w:tcPr>
            <w:tcW w:type="dxa" w:w="2268"/>
            <w:shd w:fill="F6F1E8"/>
            <w:vAlign w:val="center"/>
          </w:tcPr>
          <w:p>
            <w:pPr>
              <w:spacing w:after="0"/>
            </w:pPr>
            <w:r>
              <w:rPr>
                <w:b/>
                <w:color w:val="0B1020"/>
                <w:sz w:val="18"/>
              </w:rPr>
              <w:t>Stand</w:t>
            </w:r>
          </w:p>
        </w:tc>
        <w:tc>
          <w:tcPr>
            <w:tcW w:type="dxa" w:w="6803"/>
            <w:shd w:fill="FFFFFF"/>
            <w:vAlign w:val="center"/>
          </w:tcPr>
          <w:p>
            <w:pPr>
              <w:spacing w:after="0"/>
            </w:pPr>
            <w:r>
              <w:rPr>
                <w:b w:val="0"/>
                <w:color w:val="2B2D2E"/>
                <w:sz w:val="18"/>
              </w:rPr>
              <w:t>24. Mai 2026</w:t>
            </w:r>
          </w:p>
        </w:tc>
      </w:tr>
      <w:tr>
        <w:tc>
          <w:tcPr>
            <w:tcW w:type="dxa" w:w="2268"/>
            <w:shd w:fill="F6F1E8"/>
            <w:vAlign w:val="center"/>
          </w:tcPr>
          <w:p>
            <w:pPr>
              <w:spacing w:after="0"/>
            </w:pPr>
            <w:r>
              <w:rPr>
                <w:b/>
                <w:color w:val="0B1020"/>
                <w:sz w:val="18"/>
              </w:rPr>
              <w:t>Portal</w:t>
            </w:r>
          </w:p>
        </w:tc>
        <w:tc>
          <w:tcPr>
            <w:tcW w:type="dxa" w:w="6803"/>
            <w:shd w:fill="FFFFFF"/>
            <w:vAlign w:val="center"/>
          </w:tcPr>
          <w:p>
            <w:pPr>
              <w:spacing w:after="0"/>
            </w:pPr>
            <w:r>
              <w:rPr>
                <w:b w:val="0"/>
                <w:color w:val="2B2D2E"/>
                <w:sz w:val="18"/>
              </w:rPr>
              <w:t>Wirtschaft &amp; Unternehmen</w:t>
            </w:r>
          </w:p>
        </w:tc>
      </w:tr>
      <w:tr>
        <w:tc>
          <w:tcPr>
            <w:tcW w:type="dxa" w:w="2268"/>
            <w:shd w:fill="F6F1E8"/>
            <w:vAlign w:val="center"/>
          </w:tcPr>
          <w:p>
            <w:pPr>
              <w:spacing w:after="0"/>
            </w:pPr>
            <w:r>
              <w:rPr>
                <w:b/>
                <w:color w:val="0B1020"/>
                <w:sz w:val="18"/>
              </w:rPr>
              <w:t>Unterbereich</w:t>
            </w:r>
          </w:p>
        </w:tc>
        <w:tc>
          <w:tcPr>
            <w:tcW w:type="dxa" w:w="6803"/>
            <w:shd w:fill="FFFFFF"/>
            <w:vAlign w:val="center"/>
          </w:tcPr>
          <w:p>
            <w:pPr>
              <w:spacing w:after="0"/>
            </w:pPr>
            <w:r>
              <w:rPr>
                <w:b w:val="0"/>
                <w:color w:val="2B2D2E"/>
                <w:sz w:val="18"/>
              </w:rPr>
              <w:t>Wirkungsorientierte Unternehmensführung und Mitarbeiterführung</w:t>
            </w:r>
          </w:p>
        </w:tc>
      </w:tr>
      <w:tr>
        <w:tc>
          <w:tcPr>
            <w:tcW w:type="dxa" w:w="2268"/>
            <w:shd w:fill="F6F1E8"/>
            <w:vAlign w:val="center"/>
          </w:tcPr>
          <w:p>
            <w:pPr>
              <w:spacing w:after="0"/>
            </w:pPr>
            <w:r>
              <w:rPr>
                <w:b/>
                <w:color w:val="0B1020"/>
                <w:sz w:val="18"/>
              </w:rPr>
              <w:t>Hinweis</w:t>
            </w:r>
          </w:p>
        </w:tc>
        <w:tc>
          <w:tcPr>
            <w:tcW w:type="dxa" w:w="6803"/>
            <w:shd w:fill="FFFFFF"/>
            <w:vAlign w:val="center"/>
          </w:tcPr>
          <w:p>
            <w:pPr>
              <w:spacing w:after="0"/>
            </w:pPr>
            <w:r>
              <w:rPr>
                <w:b w:val="0"/>
                <w:color w:val="2B2D2E"/>
                <w:sz w:val="18"/>
              </w:rPr>
              <w:t>Konzeptionelle Arbeitsfassung; keine Rechts-, Steuer-, Anlage- oder Unternehmensberatung.</w:t>
            </w:r>
          </w:p>
        </w:tc>
      </w:tr>
    </w:tbl>
    <w:p>
      <w:r>
        <w:br w:type="page"/>
      </w:r>
    </w:p>
    <w:p>
      <w:pPr>
        <w:pStyle w:val="Heading1"/>
      </w:pPr>
      <w:r>
        <w:t>Inhaltsübersicht</w:t>
      </w:r>
    </w:p>
    <w:p>
      <w:pPr>
        <w:spacing w:after="20"/>
      </w:pPr>
      <w:r>
        <w:rPr>
          <w:b/>
        </w:rPr>
        <w:t>1. Executive Summary</w:t>
      </w:r>
    </w:p>
    <w:p>
      <w:pPr>
        <w:spacing w:after="20"/>
      </w:pPr>
      <w:r>
        <w:rPr>
          <w:b/>
        </w:rPr>
        <w:t>2. Ausgangsdiagnose: Führung zwischen Kontrollillusion und Wirkungsblindheit</w:t>
      </w:r>
    </w:p>
    <w:p>
      <w:pPr>
        <w:spacing w:after="20"/>
      </w:pPr>
      <w:r>
        <w:rPr>
          <w:b/>
        </w:rPr>
        <w:t>3. Führung als Systemsteuerung</w:t>
      </w:r>
    </w:p>
    <w:p>
      <w:pPr>
        <w:spacing w:after="20"/>
      </w:pPr>
      <w:r>
        <w:rPr>
          <w:b/>
        </w:rPr>
        <w:t>4. Mitarbeiterführung als Wirkungsraum</w:t>
      </w:r>
    </w:p>
    <w:p>
      <w:pPr>
        <w:spacing w:after="20"/>
      </w:pPr>
      <w:r>
        <w:rPr>
          <w:b/>
        </w:rPr>
        <w:t>5. Von KPI zu KII: Führungskennzahlen neu denken</w:t>
      </w:r>
    </w:p>
    <w:p>
      <w:pPr>
        <w:spacing w:after="20"/>
      </w:pPr>
      <w:r>
        <w:rPr>
          <w:b/>
        </w:rPr>
        <w:t>6. Rollen, Verantwortlichkeiten und Governance</w:t>
      </w:r>
    </w:p>
    <w:p>
      <w:pPr>
        <w:spacing w:after="20"/>
      </w:pPr>
      <w:r>
        <w:rPr>
          <w:b/>
        </w:rPr>
        <w:t>7. Vergütung, Anreize und Zielvereinbarungen</w:t>
      </w:r>
    </w:p>
    <w:p>
      <w:pPr>
        <w:spacing w:after="20"/>
      </w:pPr>
      <w:r>
        <w:rPr>
          <w:b/>
        </w:rPr>
        <w:t>8. Wirkungskompetenz und lernende Organisation</w:t>
      </w:r>
    </w:p>
    <w:p>
      <w:pPr>
        <w:spacing w:after="20"/>
      </w:pPr>
      <w:r>
        <w:rPr>
          <w:b/>
        </w:rPr>
        <w:t>9. Schutz vor Missbrauch: keine Personenbewertung, keine Datenherrschaft</w:t>
      </w:r>
    </w:p>
    <w:p>
      <w:pPr>
        <w:spacing w:after="20"/>
      </w:pPr>
      <w:r>
        <w:rPr>
          <w:b/>
        </w:rPr>
        <w:t>10. KMU-Tauglichkeit und Übergangspfad</w:t>
      </w:r>
    </w:p>
    <w:p>
      <w:pPr>
        <w:spacing w:after="20"/>
      </w:pPr>
      <w:r>
        <w:rPr>
          <w:b/>
        </w:rPr>
        <w:t>11. Tool- und Websitebezug</w:t>
      </w:r>
    </w:p>
    <w:p>
      <w:pPr>
        <w:spacing w:after="20"/>
      </w:pPr>
      <w:r>
        <w:rPr>
          <w:b/>
        </w:rPr>
        <w:t>12. Politische Anschlussfähigkeit und Umsetzungsoptionen</w:t>
      </w:r>
    </w:p>
    <w:p>
      <w:pPr>
        <w:spacing w:after="20"/>
      </w:pPr>
      <w:r>
        <w:rPr>
          <w:b/>
        </w:rPr>
        <w:t>13. Website- und Portalintegration</w:t>
      </w:r>
    </w:p>
    <w:p>
      <w:pPr>
        <w:spacing w:after="20"/>
      </w:pPr>
      <w:r>
        <w:rPr>
          <w:b/>
        </w:rPr>
        <w:t>14. Fazit</w:t>
      </w:r>
    </w:p>
    <w:p>
      <w:r>
        <w:br w:type="page"/>
      </w:r>
    </w:p>
    <w:p>
      <w:pPr>
        <w:pStyle w:val="Heading1"/>
      </w:pPr>
      <w:r>
        <w:t>Kurzprofil</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5100"/>
            <w:shd w:fill="0B1020"/>
          </w:tcPr>
          <w:p>
            <w:pPr>
              <w:spacing w:after="0"/>
            </w:pPr>
            <w:r>
              <w:rPr>
                <w:b/>
                <w:color w:val="FFFFFF"/>
                <w:sz w:val="17"/>
              </w:rPr>
              <w:t>Metadatum</w:t>
            </w:r>
          </w:p>
        </w:tc>
        <w:tc>
          <w:tcPr>
            <w:tcW w:type="dxa" w:w="5100"/>
            <w:shd w:fill="0B1020"/>
          </w:tcPr>
          <w:p>
            <w:pPr>
              <w:spacing w:after="0"/>
            </w:pPr>
            <w:r>
              <w:rPr>
                <w:b/>
                <w:color w:val="FFFFFF"/>
                <w:sz w:val="17"/>
              </w:rPr>
              <w:t>Angabe</w:t>
            </w:r>
          </w:p>
        </w:tc>
      </w:tr>
      <w:tr>
        <w:tc>
          <w:tcPr>
            <w:tcW w:type="dxa" w:w="5100"/>
            <w:shd w:fill="F6F1E8"/>
          </w:tcPr>
          <w:p>
            <w:pPr>
              <w:spacing w:after="0"/>
            </w:pPr>
            <w:r>
              <w:rPr>
                <w:b w:val="0"/>
                <w:color w:val="2B2D2E"/>
                <w:sz w:val="16"/>
              </w:rPr>
              <w:t>Dokumenttyp</w:t>
            </w:r>
          </w:p>
        </w:tc>
        <w:tc>
          <w:tcPr>
            <w:tcW w:type="dxa" w:w="5100"/>
            <w:shd w:fill="F6F1E8"/>
          </w:tcPr>
          <w:p>
            <w:pPr>
              <w:spacing w:after="0"/>
            </w:pPr>
            <w:r>
              <w:rPr>
                <w:b w:val="0"/>
                <w:color w:val="2B2D2E"/>
                <w:sz w:val="16"/>
              </w:rPr>
              <w:t>Öffentliches Detailkonzept</w:t>
            </w:r>
          </w:p>
        </w:tc>
      </w:tr>
      <w:tr>
        <w:tc>
          <w:tcPr>
            <w:tcW w:type="dxa" w:w="5100"/>
            <w:shd w:fill="FFFFFF"/>
          </w:tcPr>
          <w:p>
            <w:pPr>
              <w:spacing w:after="0"/>
            </w:pPr>
            <w:r>
              <w:rPr>
                <w:b w:val="0"/>
                <w:color w:val="2B2D2E"/>
                <w:sz w:val="16"/>
              </w:rPr>
              <w:t>Zugehöriges Portal</w:t>
            </w:r>
          </w:p>
        </w:tc>
        <w:tc>
          <w:tcPr>
            <w:tcW w:type="dxa" w:w="5100"/>
            <w:shd w:fill="FFFFFF"/>
          </w:tcPr>
          <w:p>
            <w:pPr>
              <w:spacing w:after="0"/>
            </w:pPr>
            <w:r>
              <w:rPr>
                <w:b w:val="0"/>
                <w:color w:val="2B2D2E"/>
                <w:sz w:val="16"/>
              </w:rPr>
              <w:t>Wirtschaft &amp; Unternehmen</w:t>
            </w:r>
          </w:p>
        </w:tc>
      </w:tr>
      <w:tr>
        <w:tc>
          <w:tcPr>
            <w:tcW w:type="dxa" w:w="5100"/>
            <w:shd w:fill="F6F1E8"/>
          </w:tcPr>
          <w:p>
            <w:pPr>
              <w:spacing w:after="0"/>
            </w:pPr>
            <w:r>
              <w:rPr>
                <w:b w:val="0"/>
                <w:color w:val="2B2D2E"/>
                <w:sz w:val="16"/>
              </w:rPr>
              <w:t>Unterbereich</w:t>
            </w:r>
          </w:p>
        </w:tc>
        <w:tc>
          <w:tcPr>
            <w:tcW w:type="dxa" w:w="5100"/>
            <w:shd w:fill="F6F1E8"/>
          </w:tcPr>
          <w:p>
            <w:pPr>
              <w:spacing w:after="0"/>
            </w:pPr>
            <w:r>
              <w:rPr>
                <w:b w:val="0"/>
                <w:color w:val="2B2D2E"/>
                <w:sz w:val="16"/>
              </w:rPr>
              <w:t>Wirkungsorientierte Unternehmensführung und Mitarbeiterführung</w:t>
            </w:r>
          </w:p>
        </w:tc>
      </w:tr>
      <w:tr>
        <w:tc>
          <w:tcPr>
            <w:tcW w:type="dxa" w:w="5100"/>
            <w:shd w:fill="FFFFFF"/>
          </w:tcPr>
          <w:p>
            <w:pPr>
              <w:spacing w:after="0"/>
            </w:pPr>
            <w:r>
              <w:rPr>
                <w:b w:val="0"/>
                <w:color w:val="2B2D2E"/>
                <w:sz w:val="16"/>
              </w:rPr>
              <w:t>Autorin</w:t>
            </w:r>
          </w:p>
        </w:tc>
        <w:tc>
          <w:tcPr>
            <w:tcW w:type="dxa" w:w="5100"/>
            <w:shd w:fill="FFFFFF"/>
          </w:tcPr>
          <w:p>
            <w:pPr>
              <w:spacing w:after="0"/>
            </w:pPr>
            <w:r>
              <w:rPr>
                <w:b w:val="0"/>
                <w:color w:val="2B2D2E"/>
                <w:sz w:val="16"/>
              </w:rPr>
              <w:t>Natalie Weber · Wirkungsökonomie</w:t>
            </w:r>
          </w:p>
        </w:tc>
      </w:tr>
      <w:tr>
        <w:tc>
          <w:tcPr>
            <w:tcW w:type="dxa" w:w="5100"/>
            <w:shd w:fill="F6F1E8"/>
          </w:tcPr>
          <w:p>
            <w:pPr>
              <w:spacing w:after="0"/>
            </w:pPr>
            <w:r>
              <w:rPr>
                <w:b w:val="0"/>
                <w:color w:val="2B2D2E"/>
                <w:sz w:val="16"/>
              </w:rPr>
              <w:t>Öffentlichkeit</w:t>
            </w:r>
          </w:p>
        </w:tc>
        <w:tc>
          <w:tcPr>
            <w:tcW w:type="dxa" w:w="5100"/>
            <w:shd w:fill="F6F1E8"/>
          </w:tcPr>
          <w:p>
            <w:pPr>
              <w:spacing w:after="0"/>
            </w:pPr>
            <w:r>
              <w:rPr>
                <w:b w:val="0"/>
                <w:color w:val="2B2D2E"/>
                <w:sz w:val="16"/>
              </w:rPr>
              <w:t>Enthält keine internen CodeX-/Repository-Anweisungen</w:t>
            </w:r>
          </w:p>
        </w:tc>
      </w:tr>
      <w:tr>
        <w:tc>
          <w:tcPr>
            <w:tcW w:type="dxa" w:w="5100"/>
            <w:shd w:fill="FFFFFF"/>
          </w:tcPr>
          <w:p>
            <w:pPr>
              <w:spacing w:after="0"/>
            </w:pPr>
            <w:r>
              <w:rPr>
                <w:b w:val="0"/>
                <w:color w:val="2B2D2E"/>
                <w:sz w:val="16"/>
              </w:rPr>
              <w:t>Hinweis</w:t>
            </w:r>
          </w:p>
        </w:tc>
        <w:tc>
          <w:tcPr>
            <w:tcW w:type="dxa" w:w="5100"/>
            <w:shd w:fill="FFFFFF"/>
          </w:tcPr>
          <w:p>
            <w:pPr>
              <w:spacing w:after="0"/>
            </w:pPr>
            <w:r>
              <w:rPr>
                <w:b w:val="0"/>
                <w:color w:val="2B2D2E"/>
                <w:sz w:val="16"/>
              </w:rPr>
              <w:t>Konzeptionelle Arbeitsfassung; keine Rechts-, Steuer-, Anlage- oder Unternehmensberatung.</w:t>
            </w:r>
          </w:p>
        </w:tc>
      </w:tr>
    </w:tbl>
    <w:p/>
    <w:p>
      <w:pPr>
        <w:pStyle w:val="Heading1"/>
      </w:pPr>
      <w:r>
        <w:t>1. Executive Summary</w:t>
      </w:r>
    </w:p>
    <w:p>
      <w:r>
        <w:t>Wirkungsorientierte Unternehmensführung bedeutet, ein Unternehmen nicht über Kontrolle, Status, Silos und kurzfristige Kennzahlen zu steuern, sondern über Rückkopplung, Verantwortung, Lernfähigkeit und positive Netto-Wirkung. Führung wird zur Systemsteuerung: Sie schafft Bedingungen, unter denen Menschen, Teams, Prozesse und Produkte in Richtung Mensch, Planet und Demokratie wirksam werden können.</w:t>
      </w:r>
    </w:p>
    <w:p>
      <w:r>
        <w:t>Dieses Detailkonzept verbindet Unternehmensführung und Mitarbeiterführung, weil beide nicht getrennt werden können. Führung wirkt nicht nur über Entscheidungen, sondern über Räume: Sicherheit oder Angst, Klarheit oder Chaos, Beteiligung oder Ohnmacht, Lernfähigkeit oder Schuldabwehr. Eine Mitarbeiterführung, die Menschen reduziert, überlastet oder entmündigt, erzeugt negative Wirkung selbst dann, wenn das Unternehmen nach außen Nachhaltigkeit berichtet.</w:t>
      </w:r>
    </w:p>
    <w:p>
      <w:r>
        <w:t>Die WÖk versteht Führung nicht als moralischen Appell an gute Chefs. Sie beschreibt eine Architektur: Zweck, Rollen, Entscheidungsregeln, Daten, Feedback, Verantwortlichkeit, Vergütung, Kompetenzaufbau, Konfliktfähigkeit und Schutz vor Machtmissbrauch. Diese Architektur muss auch KMU-tauglich sein und darf nicht in Personen-Scoring kippen. Bewertet wird nicht der Wert einzelner Menschen, sondern die Qualität von Führungs- und Arbeitsräumen.</w:t>
      </w:r>
    </w:p>
    <w:p>
      <w:pPr>
        <w:pStyle w:val="Heading1"/>
      </w:pPr>
      <w:r>
        <w:t>2. Ausgangsdiagnose: Führung zwischen Kontrollillusion und Wirkungsblindheit</w:t>
      </w:r>
    </w:p>
    <w:p>
      <w:r>
        <w:t>Viele Unternehmen steuern mit Kennzahlen, die für Finanzen sinnvoll sind, für Wirkung aber zu kurz greifen. Was gemessen wird, wird optimiert. Wenn Führung fast ausschließlich Umsatz, Marge, Auslastung, Headcount, Zielerreichung und Effizienz belohnt, entstehen Nebenwirkungen: Überlastung, Fehlanreize, Silo-Optimierung, kurzfristige Entscheidungen, Angstkultur und Wirkungssimulation.</w:t>
      </w:r>
    </w:p>
    <w:p>
      <w:r>
        <w:t>Die traditionelle Führungsidee beruht oft auf einer Kontrollillusion: Oben wird geplant, unten wird ausgeführt. In komplexen Systemen funktioniert das nur begrenzt. Märkte, Lieferketten, Technologie, Menschen, Regulatorik und gesellschaftliche Resonanz verändern sich dynamisch. Führung muss deshalb weniger befehlen und stärker Rückkopplungen organisieren.</w:t>
      </w:r>
    </w:p>
    <w:p>
      <w:r>
        <w:t>Wirkungsorientierte Führung ist keine Schwächung von Verantwortung. Im Gegenteil: Sie macht Verantwortung präziser. Sie fragt, welche Entscheidung welche Zustandsveränderung erzeugt, welche Risiken entstehen, welche Wirkungsempfänger betroffen sind und welche Lernschleifen eingebaut werden.</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5100"/>
            <w:shd w:fill="0B1020"/>
          </w:tcPr>
          <w:p>
            <w:pPr>
              <w:spacing w:after="0"/>
            </w:pPr>
            <w:r>
              <w:rPr>
                <w:b/>
                <w:color w:val="FFFFFF"/>
                <w:sz w:val="17"/>
              </w:rPr>
              <w:t>Alte Führungslogik</w:t>
            </w:r>
          </w:p>
        </w:tc>
        <w:tc>
          <w:tcPr>
            <w:tcW w:type="dxa" w:w="5100"/>
            <w:shd w:fill="0B1020"/>
          </w:tcPr>
          <w:p>
            <w:pPr>
              <w:spacing w:after="0"/>
            </w:pPr>
            <w:r>
              <w:rPr>
                <w:b/>
                <w:color w:val="FFFFFF"/>
                <w:sz w:val="17"/>
              </w:rPr>
              <w:t>Wirkungsorientierte Führungslogik</w:t>
            </w:r>
          </w:p>
        </w:tc>
      </w:tr>
      <w:tr>
        <w:tc>
          <w:tcPr>
            <w:tcW w:type="dxa" w:w="5100"/>
            <w:shd w:fill="F6F1E8"/>
          </w:tcPr>
          <w:p>
            <w:pPr>
              <w:spacing w:after="0"/>
            </w:pPr>
            <w:r>
              <w:rPr>
                <w:b w:val="0"/>
                <w:color w:val="2B2D2E"/>
                <w:sz w:val="16"/>
              </w:rPr>
              <w:t>Führung kontrolliert Menschen.</w:t>
            </w:r>
          </w:p>
        </w:tc>
        <w:tc>
          <w:tcPr>
            <w:tcW w:type="dxa" w:w="5100"/>
            <w:shd w:fill="F6F1E8"/>
          </w:tcPr>
          <w:p>
            <w:pPr>
              <w:spacing w:after="0"/>
            </w:pPr>
            <w:r>
              <w:rPr>
                <w:b w:val="0"/>
                <w:color w:val="2B2D2E"/>
                <w:sz w:val="16"/>
              </w:rPr>
              <w:t>Führung gestaltet Wirkungsräume und Rückkopplungen.</w:t>
            </w:r>
          </w:p>
        </w:tc>
      </w:tr>
      <w:tr>
        <w:tc>
          <w:tcPr>
            <w:tcW w:type="dxa" w:w="5100"/>
            <w:shd w:fill="FFFFFF"/>
          </w:tcPr>
          <w:p>
            <w:pPr>
              <w:spacing w:after="0"/>
            </w:pPr>
            <w:r>
              <w:rPr>
                <w:b w:val="0"/>
                <w:color w:val="2B2D2E"/>
                <w:sz w:val="16"/>
              </w:rPr>
              <w:t>Ziele werden aus Budget, Absatz und Effizienz abgeleitet.</w:t>
            </w:r>
          </w:p>
        </w:tc>
        <w:tc>
          <w:tcPr>
            <w:tcW w:type="dxa" w:w="5100"/>
            <w:shd w:fill="FFFFFF"/>
          </w:tcPr>
          <w:p>
            <w:pPr>
              <w:spacing w:after="0"/>
            </w:pPr>
            <w:r>
              <w:rPr>
                <w:b w:val="0"/>
                <w:color w:val="2B2D2E"/>
                <w:sz w:val="16"/>
              </w:rPr>
              <w:t>Ziele verbinden finanzielle Tragfähigkeit mit positiver Netto-Wirkung.</w:t>
            </w:r>
          </w:p>
        </w:tc>
      </w:tr>
      <w:tr>
        <w:tc>
          <w:tcPr>
            <w:tcW w:type="dxa" w:w="5100"/>
            <w:shd w:fill="F6F1E8"/>
          </w:tcPr>
          <w:p>
            <w:pPr>
              <w:spacing w:after="0"/>
            </w:pPr>
            <w:r>
              <w:rPr>
                <w:b w:val="0"/>
                <w:color w:val="2B2D2E"/>
                <w:sz w:val="16"/>
              </w:rPr>
              <w:t>Fehler werden sanktioniert oder verdeckt.</w:t>
            </w:r>
          </w:p>
        </w:tc>
        <w:tc>
          <w:tcPr>
            <w:tcW w:type="dxa" w:w="5100"/>
            <w:shd w:fill="F6F1E8"/>
          </w:tcPr>
          <w:p>
            <w:pPr>
              <w:spacing w:after="0"/>
            </w:pPr>
            <w:r>
              <w:rPr>
                <w:b w:val="0"/>
                <w:color w:val="2B2D2E"/>
                <w:sz w:val="16"/>
              </w:rPr>
              <w:t>Fehler werden als Lernsignal genutzt, sofern rote Linien nicht verletzt werden.</w:t>
            </w:r>
          </w:p>
        </w:tc>
      </w:tr>
      <w:tr>
        <w:tc>
          <w:tcPr>
            <w:tcW w:type="dxa" w:w="5100"/>
            <w:shd w:fill="FFFFFF"/>
          </w:tcPr>
          <w:p>
            <w:pPr>
              <w:spacing w:after="0"/>
            </w:pPr>
            <w:r>
              <w:rPr>
                <w:b w:val="0"/>
                <w:color w:val="2B2D2E"/>
                <w:sz w:val="16"/>
              </w:rPr>
              <w:t>Mitarbeitende sind Ressourcen.</w:t>
            </w:r>
          </w:p>
        </w:tc>
        <w:tc>
          <w:tcPr>
            <w:tcW w:type="dxa" w:w="5100"/>
            <w:shd w:fill="FFFFFF"/>
          </w:tcPr>
          <w:p>
            <w:pPr>
              <w:spacing w:after="0"/>
            </w:pPr>
            <w:r>
              <w:rPr>
                <w:b w:val="0"/>
                <w:color w:val="2B2D2E"/>
                <w:sz w:val="16"/>
              </w:rPr>
              <w:t>Mitarbeitende sind Wirkungsträger:innen und Wirkungsempfänger:innen.</w:t>
            </w:r>
          </w:p>
        </w:tc>
      </w:tr>
      <w:tr>
        <w:tc>
          <w:tcPr>
            <w:tcW w:type="dxa" w:w="5100"/>
            <w:shd w:fill="F6F1E8"/>
          </w:tcPr>
          <w:p>
            <w:pPr>
              <w:spacing w:after="0"/>
            </w:pPr>
            <w:r>
              <w:rPr>
                <w:b w:val="0"/>
                <w:color w:val="2B2D2E"/>
                <w:sz w:val="16"/>
              </w:rPr>
              <w:t>Macht entsteht durch Position.</w:t>
            </w:r>
          </w:p>
        </w:tc>
        <w:tc>
          <w:tcPr>
            <w:tcW w:type="dxa" w:w="5100"/>
            <w:shd w:fill="F6F1E8"/>
          </w:tcPr>
          <w:p>
            <w:pPr>
              <w:spacing w:after="0"/>
            </w:pPr>
            <w:r>
              <w:rPr>
                <w:b w:val="0"/>
                <w:color w:val="2B2D2E"/>
                <w:sz w:val="16"/>
              </w:rPr>
              <w:t>Autorität entsteht durch Verantwortung, Klarheit und Wirksamkeit.</w:t>
            </w:r>
          </w:p>
        </w:tc>
      </w:tr>
    </w:tbl>
    <w:p/>
    <w:p>
      <w:pPr>
        <w:pStyle w:val="Heading1"/>
      </w:pPr>
      <w:r>
        <w:t>3. Führung als Systemsteuerung</w:t>
      </w:r>
    </w:p>
    <w:p>
      <w:r>
        <w:t>Führung wirkt immer indirekt. Eine Führungskraft kann Wirkung nicht einfach anordnen. Sie kann aber Strukturen schaffen, in denen Wirkung wahrscheinlicher wird: klare Prioritäten, sichere Kommunikation, transparente Daten, Rollen mit Entscheidungsspielraum, gute Konfliktbearbeitung, realistische Ressourcen und ein Verständnis für Zielkonflikte.</w:t>
      </w:r>
    </w:p>
    <w:p>
      <w:r>
        <w:t>Systemsteuerung bedeutet, Engpässe zu erkennen. Manchmal ist der Engpass nicht Kapital, sondern Wissen. Manchmal nicht Wissen, sondern Vertrauen. Manchmal nicht Technologie, sondern Akzeptanz. Manchmal nicht Strategie, sondern interne Angst vor schlechten Nachrichten. Wirkungsorientierte Führung sucht den Engpass, nicht den Schuldigen.</w:t>
      </w:r>
    </w:p>
    <w:p>
      <w:r>
        <w:t>Die Reverse-Merit-Order-Logik lässt sich auch auf Führung übertragen. Eine Organisation mit hoher Produktivität, aber toxischer Kultur, kann keine positive Gesamtwirkung beanspruchen. Ein Team mit Innovationskraft, aber fehlender psychologischer Sicherheit, wird mittelfristig fragile Wirkung erzeugen. Die schwächste Wirkungsvoraussetzung begrenzt die Wirkleistung.</w:t>
      </w:r>
    </w:p>
    <w:p>
      <w:pPr>
        <w:pStyle w:val="Heading1"/>
      </w:pPr>
      <w:r>
        <w:t>4. Mitarbeiterführung als Wirkungsraum</w:t>
      </w:r>
    </w:p>
    <w:p>
      <w:r>
        <w:t>Mitarbeiterführung ist kein Soft-Thema. Sie ist einer der wichtigsten Wirkungsräume im Unternehmen. Arbeitsbedingungen beeinflussen Gesundheit, Motivation, Fehlerkultur, Innovation, Arbeitsschutz, Bindung, Diskriminierung, Teilhabe und Produktqualität. Wer Menschen überlastet, erzeugt nicht nur individuelles Leid, sondern Systemkosten: Fehlzeiten, Fluktuation, Qualitätsfehler, Konflikte, Vertrauensverlust und Wissensabfluss.</w:t>
      </w:r>
    </w:p>
    <w:p>
      <w:r>
        <w:t>Wirkungsorientierte Mitarbeiterführung bewertet daher nicht Menschen, sondern Rahmenbedingungen. Sie fragt: Können Menschen ihre Arbeit sinnvoll, gesund, sicher, fair und wirksam tun? Werden sie beteiligt, wenn ihre Arbeit Wirkung erzeugt? Gibt es Schutz vor Diskriminierung, Machtmissbrauch und algorithmischer Kontrolle? Gibt es Weiterbildung für Transformationsfähigkeit?</w:t>
      </w:r>
    </w:p>
    <w:p>
      <w:r>
        <w:t>Ein zentrales Schutzprinzip lautet: keine Personenbewertung im Sinne eines Social-Credit-Systems. Scorecards dürfen nicht dazu dienen, Menschen als „gut“ oder „schlecht“ zu etikettieren. Sie bewerten Prozesse, Räume, Führungspraktiken und Teambedingungen. Individuelles Feedback bleibt qualitativ, arbeitsrechtlich sauber und menschenwürdig.</w:t>
      </w:r>
    </w:p>
    <w:tbl>
      <w:tblPr>
        <w:tblStyle w:val="TableGrid"/>
        <w:tblW w:type="auto" w:w="0"/>
        <w:jc w:val="center"/>
        <w:tblLook w:firstColumn="1" w:firstRow="1" w:lastColumn="0" w:lastRow="0" w:noHBand="0" w:noVBand="1" w:val="04A0"/>
      </w:tblPr>
      <w:tblGrid>
        <w:gridCol w:w="2550"/>
        <w:gridCol w:w="2550"/>
        <w:gridCol w:w="2550"/>
        <w:gridCol w:w="2550"/>
      </w:tblGrid>
      <w:tr>
        <w:trPr>
          <w:tblHeader w:val="true"/>
        </w:trPr>
        <w:tc>
          <w:tcPr>
            <w:tcW w:type="dxa" w:w="2550"/>
            <w:shd w:fill="0B1020"/>
          </w:tcPr>
          <w:p>
            <w:pPr>
              <w:spacing w:after="0"/>
            </w:pPr>
            <w:r>
              <w:rPr>
                <w:b/>
                <w:color w:val="FFFFFF"/>
                <w:sz w:val="17"/>
              </w:rPr>
              <w:t>Feld</w:t>
            </w:r>
          </w:p>
        </w:tc>
        <w:tc>
          <w:tcPr>
            <w:tcW w:type="dxa" w:w="2550"/>
            <w:shd w:fill="0B1020"/>
          </w:tcPr>
          <w:p>
            <w:pPr>
              <w:spacing w:after="0"/>
            </w:pPr>
            <w:r>
              <w:rPr>
                <w:b/>
                <w:color w:val="FFFFFF"/>
                <w:sz w:val="17"/>
              </w:rPr>
              <w:t>Positive Führungswirkung</w:t>
            </w:r>
          </w:p>
        </w:tc>
        <w:tc>
          <w:tcPr>
            <w:tcW w:type="dxa" w:w="2550"/>
            <w:shd w:fill="0B1020"/>
          </w:tcPr>
          <w:p>
            <w:pPr>
              <w:spacing w:after="0"/>
            </w:pPr>
            <w:r>
              <w:rPr>
                <w:b/>
                <w:color w:val="FFFFFF"/>
                <w:sz w:val="17"/>
              </w:rPr>
              <w:t>Negative Führungswirkung</w:t>
            </w:r>
          </w:p>
        </w:tc>
        <w:tc>
          <w:tcPr>
            <w:tcW w:type="dxa" w:w="2550"/>
            <w:shd w:fill="0B1020"/>
          </w:tcPr>
          <w:p>
            <w:pPr>
              <w:spacing w:after="0"/>
            </w:pPr>
            <w:r>
              <w:rPr>
                <w:b/>
                <w:color w:val="FFFFFF"/>
                <w:sz w:val="17"/>
              </w:rPr>
              <w:t>Beispielindikatoren</w:t>
            </w:r>
          </w:p>
        </w:tc>
      </w:tr>
      <w:tr>
        <w:tc>
          <w:tcPr>
            <w:tcW w:type="dxa" w:w="2550"/>
            <w:shd w:fill="F6F1E8"/>
          </w:tcPr>
          <w:p>
            <w:pPr>
              <w:spacing w:after="0"/>
            </w:pPr>
            <w:r>
              <w:rPr>
                <w:b w:val="0"/>
                <w:color w:val="2B2D2E"/>
                <w:sz w:val="16"/>
              </w:rPr>
              <w:t>Gesundheit</w:t>
            </w:r>
          </w:p>
        </w:tc>
        <w:tc>
          <w:tcPr>
            <w:tcW w:type="dxa" w:w="2550"/>
            <w:shd w:fill="F6F1E8"/>
          </w:tcPr>
          <w:p>
            <w:pPr>
              <w:spacing w:after="0"/>
            </w:pPr>
            <w:r>
              <w:rPr>
                <w:b w:val="0"/>
                <w:color w:val="2B2D2E"/>
                <w:sz w:val="16"/>
              </w:rPr>
              <w:t>Arbeitsbelastung realistisch, psychische Sicherheit, Prävention</w:t>
            </w:r>
          </w:p>
        </w:tc>
        <w:tc>
          <w:tcPr>
            <w:tcW w:type="dxa" w:w="2550"/>
            <w:shd w:fill="F6F1E8"/>
          </w:tcPr>
          <w:p>
            <w:pPr>
              <w:spacing w:after="0"/>
            </w:pPr>
            <w:r>
              <w:rPr>
                <w:b w:val="0"/>
                <w:color w:val="2B2D2E"/>
                <w:sz w:val="16"/>
              </w:rPr>
              <w:t>Dauerstress, Angstkultur, Burnout, Unfallrisiken</w:t>
            </w:r>
          </w:p>
        </w:tc>
        <w:tc>
          <w:tcPr>
            <w:tcW w:type="dxa" w:w="2550"/>
            <w:shd w:fill="F6F1E8"/>
          </w:tcPr>
          <w:p>
            <w:pPr>
              <w:spacing w:after="0"/>
            </w:pPr>
            <w:r>
              <w:rPr>
                <w:b w:val="0"/>
                <w:color w:val="2B2D2E"/>
                <w:sz w:val="16"/>
              </w:rPr>
              <w:t>Fehlzeiten, Überstunden, psychosoziale Risiken, LTIFR</w:t>
            </w:r>
          </w:p>
        </w:tc>
      </w:tr>
      <w:tr>
        <w:tc>
          <w:tcPr>
            <w:tcW w:type="dxa" w:w="2550"/>
            <w:shd w:fill="FFFFFF"/>
          </w:tcPr>
          <w:p>
            <w:pPr>
              <w:spacing w:after="0"/>
            </w:pPr>
            <w:r>
              <w:rPr>
                <w:b w:val="0"/>
                <w:color w:val="2B2D2E"/>
                <w:sz w:val="16"/>
              </w:rPr>
              <w:t>Teilhabe</w:t>
            </w:r>
          </w:p>
        </w:tc>
        <w:tc>
          <w:tcPr>
            <w:tcW w:type="dxa" w:w="2550"/>
            <w:shd w:fill="FFFFFF"/>
          </w:tcPr>
          <w:p>
            <w:pPr>
              <w:spacing w:after="0"/>
            </w:pPr>
            <w:r>
              <w:rPr>
                <w:b w:val="0"/>
                <w:color w:val="2B2D2E"/>
                <w:sz w:val="16"/>
              </w:rPr>
              <w:t>Beteiligung, klare Rollen, faire Entwicklungschancen</w:t>
            </w:r>
          </w:p>
        </w:tc>
        <w:tc>
          <w:tcPr>
            <w:tcW w:type="dxa" w:w="2550"/>
            <w:shd w:fill="FFFFFF"/>
          </w:tcPr>
          <w:p>
            <w:pPr>
              <w:spacing w:after="0"/>
            </w:pPr>
            <w:r>
              <w:rPr>
                <w:b w:val="0"/>
                <w:color w:val="2B2D2E"/>
                <w:sz w:val="16"/>
              </w:rPr>
              <w:t>Silodenken, Ausschluss, Diskriminierung</w:t>
            </w:r>
          </w:p>
        </w:tc>
        <w:tc>
          <w:tcPr>
            <w:tcW w:type="dxa" w:w="2550"/>
            <w:shd w:fill="FFFFFF"/>
          </w:tcPr>
          <w:p>
            <w:pPr>
              <w:spacing w:after="0"/>
            </w:pPr>
            <w:r>
              <w:rPr>
                <w:b w:val="0"/>
                <w:color w:val="2B2D2E"/>
                <w:sz w:val="16"/>
              </w:rPr>
              <w:t>Weiterbildung, interne Mobilität, Diversität, Beschwerdekanäle</w:t>
            </w:r>
          </w:p>
        </w:tc>
      </w:tr>
      <w:tr>
        <w:tc>
          <w:tcPr>
            <w:tcW w:type="dxa" w:w="2550"/>
            <w:shd w:fill="F6F1E8"/>
          </w:tcPr>
          <w:p>
            <w:pPr>
              <w:spacing w:after="0"/>
            </w:pPr>
            <w:r>
              <w:rPr>
                <w:b w:val="0"/>
                <w:color w:val="2B2D2E"/>
                <w:sz w:val="16"/>
              </w:rPr>
              <w:t>Lernen</w:t>
            </w:r>
          </w:p>
        </w:tc>
        <w:tc>
          <w:tcPr>
            <w:tcW w:type="dxa" w:w="2550"/>
            <w:shd w:fill="F6F1E8"/>
          </w:tcPr>
          <w:p>
            <w:pPr>
              <w:spacing w:after="0"/>
            </w:pPr>
            <w:r>
              <w:rPr>
                <w:b w:val="0"/>
                <w:color w:val="2B2D2E"/>
                <w:sz w:val="16"/>
              </w:rPr>
              <w:t>Fehler werden ausgewertet, Wissen geteilt</w:t>
            </w:r>
          </w:p>
        </w:tc>
        <w:tc>
          <w:tcPr>
            <w:tcW w:type="dxa" w:w="2550"/>
            <w:shd w:fill="F6F1E8"/>
          </w:tcPr>
          <w:p>
            <w:pPr>
              <w:spacing w:after="0"/>
            </w:pPr>
            <w:r>
              <w:rPr>
                <w:b w:val="0"/>
                <w:color w:val="2B2D2E"/>
                <w:sz w:val="16"/>
              </w:rPr>
              <w:t>Schuldabwehr, Vertuschung, Wissensmonopole</w:t>
            </w:r>
          </w:p>
        </w:tc>
        <w:tc>
          <w:tcPr>
            <w:tcW w:type="dxa" w:w="2550"/>
            <w:shd w:fill="F6F1E8"/>
          </w:tcPr>
          <w:p>
            <w:pPr>
              <w:spacing w:after="0"/>
            </w:pPr>
            <w:r>
              <w:rPr>
                <w:b w:val="0"/>
                <w:color w:val="2B2D2E"/>
                <w:sz w:val="16"/>
              </w:rPr>
              <w:t>Lessons learned, Prozessverbesserungen, Retrospektiven</w:t>
            </w:r>
          </w:p>
        </w:tc>
      </w:tr>
      <w:tr>
        <w:tc>
          <w:tcPr>
            <w:tcW w:type="dxa" w:w="2550"/>
            <w:shd w:fill="FFFFFF"/>
          </w:tcPr>
          <w:p>
            <w:pPr>
              <w:spacing w:after="0"/>
            </w:pPr>
            <w:r>
              <w:rPr>
                <w:b w:val="0"/>
                <w:color w:val="2B2D2E"/>
                <w:sz w:val="16"/>
              </w:rPr>
              <w:t>Innovation</w:t>
            </w:r>
          </w:p>
        </w:tc>
        <w:tc>
          <w:tcPr>
            <w:tcW w:type="dxa" w:w="2550"/>
            <w:shd w:fill="FFFFFF"/>
          </w:tcPr>
          <w:p>
            <w:pPr>
              <w:spacing w:after="0"/>
            </w:pPr>
            <w:r>
              <w:rPr>
                <w:b w:val="0"/>
                <w:color w:val="2B2D2E"/>
                <w:sz w:val="16"/>
              </w:rPr>
              <w:t>Sicherer Raum für Experimente und Widerspruch</w:t>
            </w:r>
          </w:p>
        </w:tc>
        <w:tc>
          <w:tcPr>
            <w:tcW w:type="dxa" w:w="2550"/>
            <w:shd w:fill="FFFFFF"/>
          </w:tcPr>
          <w:p>
            <w:pPr>
              <w:spacing w:after="0"/>
            </w:pPr>
            <w:r>
              <w:rPr>
                <w:b w:val="0"/>
                <w:color w:val="2B2D2E"/>
                <w:sz w:val="16"/>
              </w:rPr>
              <w:t>Konformitätsdruck, Ideenverlust</w:t>
            </w:r>
          </w:p>
        </w:tc>
        <w:tc>
          <w:tcPr>
            <w:tcW w:type="dxa" w:w="2550"/>
            <w:shd w:fill="FFFFFF"/>
          </w:tcPr>
          <w:p>
            <w:pPr>
              <w:spacing w:after="0"/>
            </w:pPr>
            <w:r>
              <w:rPr>
                <w:b w:val="0"/>
                <w:color w:val="2B2D2E"/>
                <w:sz w:val="16"/>
              </w:rPr>
              <w:t>Experimentquote, Umsetzungsrate, T-SROI von Innovationsprojekten</w:t>
            </w:r>
          </w:p>
        </w:tc>
      </w:tr>
      <w:tr>
        <w:tc>
          <w:tcPr>
            <w:tcW w:type="dxa" w:w="2550"/>
            <w:shd w:fill="F6F1E8"/>
          </w:tcPr>
          <w:p>
            <w:pPr>
              <w:spacing w:after="0"/>
            </w:pPr>
            <w:r>
              <w:rPr>
                <w:b w:val="0"/>
                <w:color w:val="2B2D2E"/>
                <w:sz w:val="16"/>
              </w:rPr>
              <w:t>Demokratie im Unternehmen</w:t>
            </w:r>
          </w:p>
        </w:tc>
        <w:tc>
          <w:tcPr>
            <w:tcW w:type="dxa" w:w="2550"/>
            <w:shd w:fill="F6F1E8"/>
          </w:tcPr>
          <w:p>
            <w:pPr>
              <w:spacing w:after="0"/>
            </w:pPr>
            <w:r>
              <w:rPr>
                <w:b w:val="0"/>
                <w:color w:val="2B2D2E"/>
                <w:sz w:val="16"/>
              </w:rPr>
              <w:t>Transparenz, Mitbestimmung, Fairness</w:t>
            </w:r>
          </w:p>
        </w:tc>
        <w:tc>
          <w:tcPr>
            <w:tcW w:type="dxa" w:w="2550"/>
            <w:shd w:fill="F6F1E8"/>
          </w:tcPr>
          <w:p>
            <w:pPr>
              <w:spacing w:after="0"/>
            </w:pPr>
            <w:r>
              <w:rPr>
                <w:b w:val="0"/>
                <w:color w:val="2B2D2E"/>
                <w:sz w:val="16"/>
              </w:rPr>
              <w:t>Machtmissbrauch, Intransparenz, Manipulation</w:t>
            </w:r>
          </w:p>
        </w:tc>
        <w:tc>
          <w:tcPr>
            <w:tcW w:type="dxa" w:w="2550"/>
            <w:shd w:fill="F6F1E8"/>
          </w:tcPr>
          <w:p>
            <w:pPr>
              <w:spacing w:after="0"/>
            </w:pPr>
            <w:r>
              <w:rPr>
                <w:b w:val="0"/>
                <w:color w:val="2B2D2E"/>
                <w:sz w:val="16"/>
              </w:rPr>
              <w:t>Betriebsrat/Mitbestimmung, Transparenz, Whistleblower-Schutz</w:t>
            </w:r>
          </w:p>
        </w:tc>
      </w:tr>
    </w:tbl>
    <w:p/>
    <w:p>
      <w:pPr>
        <w:pStyle w:val="Heading1"/>
      </w:pPr>
      <w:r>
        <w:t>5. Von KPI zu KII: Führungskennzahlen neu denken</w:t>
      </w:r>
    </w:p>
    <w:p>
      <w:r>
        <w:t>KPI bleiben wichtig, aber sie reichen nicht. Key Performance Indicators messen häufig Output und Effizienz. Key Impact Indicators (KII) messen Zustandsveränderungen. Die WÖk-Führung verbindet beide: Es reicht nicht, ein Projekt pünktlich und im Budget abzuschließen, wenn es negative Wirkung erzeugt. Umgekehrt reicht gute Wirkungsidee nicht, wenn sie organisatorisch nicht tragfähig umgesetzt wird.</w:t>
      </w:r>
    </w:p>
    <w:p>
      <w:r>
        <w:t>KII sollten in Entscheidungsunterlagen, Zielvereinbarungen und Management-Reviews auftauchen. Sie dürfen aber nicht mechanisch zu Bonusformeln verkommen. Sonst entsteht KPI-Gaming in neuer Form. Deshalb braucht es qualitative Begründung, Datenqualität, Unsicherheitskennzeichnung und eine Mischung aus harten Indikatoren und reflektierter Bewertung.</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Managementfeld</w:t>
            </w:r>
          </w:p>
        </w:tc>
        <w:tc>
          <w:tcPr>
            <w:tcW w:type="dxa" w:w="3400"/>
            <w:shd w:fill="0B1020"/>
          </w:tcPr>
          <w:p>
            <w:pPr>
              <w:spacing w:after="0"/>
            </w:pPr>
            <w:r>
              <w:rPr>
                <w:b/>
                <w:color w:val="FFFFFF"/>
                <w:sz w:val="17"/>
              </w:rPr>
              <w:t>Klassischer KPI</w:t>
            </w:r>
          </w:p>
        </w:tc>
        <w:tc>
          <w:tcPr>
            <w:tcW w:type="dxa" w:w="3400"/>
            <w:shd w:fill="0B1020"/>
          </w:tcPr>
          <w:p>
            <w:pPr>
              <w:spacing w:after="0"/>
            </w:pPr>
            <w:r>
              <w:rPr>
                <w:b/>
                <w:color w:val="FFFFFF"/>
                <w:sz w:val="17"/>
              </w:rPr>
              <w:t>Wirkungsorientierter KII</w:t>
            </w:r>
          </w:p>
        </w:tc>
      </w:tr>
      <w:tr>
        <w:tc>
          <w:tcPr>
            <w:tcW w:type="dxa" w:w="3400"/>
            <w:shd w:fill="F6F1E8"/>
          </w:tcPr>
          <w:p>
            <w:pPr>
              <w:spacing w:after="0"/>
            </w:pPr>
            <w:r>
              <w:rPr>
                <w:b w:val="0"/>
                <w:color w:val="2B2D2E"/>
                <w:sz w:val="16"/>
              </w:rPr>
              <w:t>Strategie</w:t>
            </w:r>
          </w:p>
        </w:tc>
        <w:tc>
          <w:tcPr>
            <w:tcW w:type="dxa" w:w="3400"/>
            <w:shd w:fill="F6F1E8"/>
          </w:tcPr>
          <w:p>
            <w:pPr>
              <w:spacing w:after="0"/>
            </w:pPr>
            <w:r>
              <w:rPr>
                <w:b w:val="0"/>
                <w:color w:val="2B2D2E"/>
                <w:sz w:val="16"/>
              </w:rPr>
              <w:t>Umsatzwachstum, Marktanteil</w:t>
            </w:r>
          </w:p>
        </w:tc>
        <w:tc>
          <w:tcPr>
            <w:tcW w:type="dxa" w:w="3400"/>
            <w:shd w:fill="F6F1E8"/>
          </w:tcPr>
          <w:p>
            <w:pPr>
              <w:spacing w:after="0"/>
            </w:pPr>
            <w:r>
              <w:rPr>
                <w:b w:val="0"/>
                <w:color w:val="2B2D2E"/>
                <w:sz w:val="16"/>
              </w:rPr>
              <w:t>Anteil Umsatz aus positiver Netto-Wirkung, Transformationspfad, Wirkungslücken</w:t>
            </w:r>
          </w:p>
        </w:tc>
      </w:tr>
      <w:tr>
        <w:tc>
          <w:tcPr>
            <w:tcW w:type="dxa" w:w="3400"/>
            <w:shd w:fill="FFFFFF"/>
          </w:tcPr>
          <w:p>
            <w:pPr>
              <w:spacing w:after="0"/>
            </w:pPr>
            <w:r>
              <w:rPr>
                <w:b w:val="0"/>
                <w:color w:val="2B2D2E"/>
                <w:sz w:val="16"/>
              </w:rPr>
              <w:t>Produktion</w:t>
            </w:r>
          </w:p>
        </w:tc>
        <w:tc>
          <w:tcPr>
            <w:tcW w:type="dxa" w:w="3400"/>
            <w:shd w:fill="FFFFFF"/>
          </w:tcPr>
          <w:p>
            <w:pPr>
              <w:spacing w:after="0"/>
            </w:pPr>
            <w:r>
              <w:rPr>
                <w:b w:val="0"/>
                <w:color w:val="2B2D2E"/>
                <w:sz w:val="16"/>
              </w:rPr>
              <w:t>Output, Ausschuss, Kosten</w:t>
            </w:r>
          </w:p>
        </w:tc>
        <w:tc>
          <w:tcPr>
            <w:tcW w:type="dxa" w:w="3400"/>
            <w:shd w:fill="FFFFFF"/>
          </w:tcPr>
          <w:p>
            <w:pPr>
              <w:spacing w:after="0"/>
            </w:pPr>
            <w:r>
              <w:rPr>
                <w:b w:val="0"/>
                <w:color w:val="2B2D2E"/>
                <w:sz w:val="16"/>
              </w:rPr>
              <w:t>Materialwirkung, Energieintensität, Arbeitsschutz, Produktlebenszykluswirkung</w:t>
            </w:r>
          </w:p>
        </w:tc>
      </w:tr>
      <w:tr>
        <w:tc>
          <w:tcPr>
            <w:tcW w:type="dxa" w:w="3400"/>
            <w:shd w:fill="F6F1E8"/>
          </w:tcPr>
          <w:p>
            <w:pPr>
              <w:spacing w:after="0"/>
            </w:pPr>
            <w:r>
              <w:rPr>
                <w:b w:val="0"/>
                <w:color w:val="2B2D2E"/>
                <w:sz w:val="16"/>
              </w:rPr>
              <w:t>HR</w:t>
            </w:r>
          </w:p>
        </w:tc>
        <w:tc>
          <w:tcPr>
            <w:tcW w:type="dxa" w:w="3400"/>
            <w:shd w:fill="F6F1E8"/>
          </w:tcPr>
          <w:p>
            <w:pPr>
              <w:spacing w:after="0"/>
            </w:pPr>
            <w:r>
              <w:rPr>
                <w:b w:val="0"/>
                <w:color w:val="2B2D2E"/>
                <w:sz w:val="16"/>
              </w:rPr>
              <w:t>Headcount, Fluktuation, Kosten je FTE</w:t>
            </w:r>
          </w:p>
        </w:tc>
        <w:tc>
          <w:tcPr>
            <w:tcW w:type="dxa" w:w="3400"/>
            <w:shd w:fill="F6F1E8"/>
          </w:tcPr>
          <w:p>
            <w:pPr>
              <w:spacing w:after="0"/>
            </w:pPr>
            <w:r>
              <w:rPr>
                <w:b w:val="0"/>
                <w:color w:val="2B2D2E"/>
                <w:sz w:val="16"/>
              </w:rPr>
              <w:t>Wirkungskompetenz, gesunde Arbeit, Lernfähigkeit, Teilhabe</w:t>
            </w:r>
          </w:p>
        </w:tc>
      </w:tr>
      <w:tr>
        <w:tc>
          <w:tcPr>
            <w:tcW w:type="dxa" w:w="3400"/>
            <w:shd w:fill="FFFFFF"/>
          </w:tcPr>
          <w:p>
            <w:pPr>
              <w:spacing w:after="0"/>
            </w:pPr>
            <w:r>
              <w:rPr>
                <w:b w:val="0"/>
                <w:color w:val="2B2D2E"/>
                <w:sz w:val="16"/>
              </w:rPr>
              <w:t>Innovation</w:t>
            </w:r>
          </w:p>
        </w:tc>
        <w:tc>
          <w:tcPr>
            <w:tcW w:type="dxa" w:w="3400"/>
            <w:shd w:fill="FFFFFF"/>
          </w:tcPr>
          <w:p>
            <w:pPr>
              <w:spacing w:after="0"/>
            </w:pPr>
            <w:r>
              <w:rPr>
                <w:b w:val="0"/>
                <w:color w:val="2B2D2E"/>
                <w:sz w:val="16"/>
              </w:rPr>
              <w:t>Anzahl Projekte, F&amp;E-Budget</w:t>
            </w:r>
          </w:p>
        </w:tc>
        <w:tc>
          <w:tcPr>
            <w:tcW w:type="dxa" w:w="3400"/>
            <w:shd w:fill="FFFFFF"/>
          </w:tcPr>
          <w:p>
            <w:pPr>
              <w:spacing w:after="0"/>
            </w:pPr>
            <w:r>
              <w:rPr>
                <w:b w:val="0"/>
                <w:color w:val="2B2D2E"/>
                <w:sz w:val="16"/>
              </w:rPr>
              <w:t>T-SROI, Systemhebelwirkung, Diffusion, Standardsetzung</w:t>
            </w:r>
          </w:p>
        </w:tc>
      </w:tr>
      <w:tr>
        <w:tc>
          <w:tcPr>
            <w:tcW w:type="dxa" w:w="3400"/>
            <w:shd w:fill="F6F1E8"/>
          </w:tcPr>
          <w:p>
            <w:pPr>
              <w:spacing w:after="0"/>
            </w:pPr>
            <w:r>
              <w:rPr>
                <w:b w:val="0"/>
                <w:color w:val="2B2D2E"/>
                <w:sz w:val="16"/>
              </w:rPr>
              <w:t>Beschaffung</w:t>
            </w:r>
          </w:p>
        </w:tc>
        <w:tc>
          <w:tcPr>
            <w:tcW w:type="dxa" w:w="3400"/>
            <w:shd w:fill="F6F1E8"/>
          </w:tcPr>
          <w:p>
            <w:pPr>
              <w:spacing w:after="0"/>
            </w:pPr>
            <w:r>
              <w:rPr>
                <w:b w:val="0"/>
                <w:color w:val="2B2D2E"/>
                <w:sz w:val="16"/>
              </w:rPr>
              <w:t>Einsparungen, Lieferfähigkeit</w:t>
            </w:r>
          </w:p>
        </w:tc>
        <w:tc>
          <w:tcPr>
            <w:tcW w:type="dxa" w:w="3400"/>
            <w:shd w:fill="F6F1E8"/>
          </w:tcPr>
          <w:p>
            <w:pPr>
              <w:spacing w:after="0"/>
            </w:pPr>
            <w:r>
              <w:rPr>
                <w:b w:val="0"/>
                <w:color w:val="2B2D2E"/>
                <w:sz w:val="16"/>
              </w:rPr>
              <w:t>Lieferkettenwirkung, Resilienz, Vorsteuerfähigkeit, rote Linien</w:t>
            </w:r>
          </w:p>
        </w:tc>
      </w:tr>
      <w:tr>
        <w:tc>
          <w:tcPr>
            <w:tcW w:type="dxa" w:w="3400"/>
            <w:shd w:fill="FFFFFF"/>
          </w:tcPr>
          <w:p>
            <w:pPr>
              <w:spacing w:after="0"/>
            </w:pPr>
            <w:r>
              <w:rPr>
                <w:b w:val="0"/>
                <w:color w:val="2B2D2E"/>
                <w:sz w:val="16"/>
              </w:rPr>
              <w:t>Kommunikation</w:t>
            </w:r>
          </w:p>
        </w:tc>
        <w:tc>
          <w:tcPr>
            <w:tcW w:type="dxa" w:w="3400"/>
            <w:shd w:fill="FFFFFF"/>
          </w:tcPr>
          <w:p>
            <w:pPr>
              <w:spacing w:after="0"/>
            </w:pPr>
            <w:r>
              <w:rPr>
                <w:b w:val="0"/>
                <w:color w:val="2B2D2E"/>
                <w:sz w:val="16"/>
              </w:rPr>
              <w:t>Reichweite, Leads</w:t>
            </w:r>
          </w:p>
        </w:tc>
        <w:tc>
          <w:tcPr>
            <w:tcW w:type="dxa" w:w="3400"/>
            <w:shd w:fill="FFFFFF"/>
          </w:tcPr>
          <w:p>
            <w:pPr>
              <w:spacing w:after="0"/>
            </w:pPr>
            <w:r>
              <w:rPr>
                <w:b w:val="0"/>
                <w:color w:val="2B2D2E"/>
                <w:sz w:val="16"/>
              </w:rPr>
              <w:t>Vertrauen, Quellenklarheit, Responsible Marketing, Diskurswirkung</w:t>
            </w:r>
          </w:p>
        </w:tc>
      </w:tr>
    </w:tbl>
    <w:p/>
    <w:p>
      <w:pPr>
        <w:pStyle w:val="Heading1"/>
      </w:pPr>
      <w:r>
        <w:t>6. Rollen, Verantwortlichkeiten und Governance</w:t>
      </w:r>
    </w:p>
    <w:p>
      <w:r>
        <w:t>Wirkungsorientierte Führung braucht klare Rollen. Wenn alle „irgendwie“ verantwortlich sind, ist am Ende niemand zuständig. Die WÖk empfiehlt eine Governance, die Wirkung in Vorstand, Aufsichtsrat, Management, Fachbereichen und Teams verankert.</w:t>
      </w:r>
    </w:p>
    <w:p>
      <w:r>
        <w:t>Der Vorstand oder die Geschäftsführung trägt die strategische Wirkungsverantwortung. Der Aufsichtsrat prüft, ob Geschäftsmodell, Risiko und Kapitalallokation mit Zukunftsfähigkeit vereinbar sind. Fachbereiche übersetzen WÖk-IDs in operative Prozesse. Teams erhalten Handlungsspielraum und Rückkopplung. Controlling verbindet finanzielle und wirkungsbezogene Sicht. HR gestaltet Wirkungskompetenz und gesunde Arbeit.</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Rolle</w:t>
            </w:r>
          </w:p>
        </w:tc>
        <w:tc>
          <w:tcPr>
            <w:tcW w:type="dxa" w:w="3400"/>
            <w:shd w:fill="0B1020"/>
          </w:tcPr>
          <w:p>
            <w:pPr>
              <w:spacing w:after="0"/>
            </w:pPr>
            <w:r>
              <w:rPr>
                <w:b/>
                <w:color w:val="FFFFFF"/>
                <w:sz w:val="17"/>
              </w:rPr>
              <w:t>Wirkungsverantwortung</w:t>
            </w:r>
          </w:p>
        </w:tc>
        <w:tc>
          <w:tcPr>
            <w:tcW w:type="dxa" w:w="3400"/>
            <w:shd w:fill="0B1020"/>
          </w:tcPr>
          <w:p>
            <w:pPr>
              <w:spacing w:after="0"/>
            </w:pPr>
            <w:r>
              <w:rPr>
                <w:b/>
                <w:color w:val="FFFFFF"/>
                <w:sz w:val="17"/>
              </w:rPr>
              <w:t>Instrument</w:t>
            </w:r>
          </w:p>
        </w:tc>
      </w:tr>
      <w:tr>
        <w:tc>
          <w:tcPr>
            <w:tcW w:type="dxa" w:w="3400"/>
            <w:shd w:fill="F6F1E8"/>
          </w:tcPr>
          <w:p>
            <w:pPr>
              <w:spacing w:after="0"/>
            </w:pPr>
            <w:r>
              <w:rPr>
                <w:b w:val="0"/>
                <w:color w:val="2B2D2E"/>
                <w:sz w:val="16"/>
              </w:rPr>
              <w:t>Vorstand / Geschäftsführung</w:t>
            </w:r>
          </w:p>
        </w:tc>
        <w:tc>
          <w:tcPr>
            <w:tcW w:type="dxa" w:w="3400"/>
            <w:shd w:fill="F6F1E8"/>
          </w:tcPr>
          <w:p>
            <w:pPr>
              <w:spacing w:after="0"/>
            </w:pPr>
            <w:r>
              <w:rPr>
                <w:b w:val="0"/>
                <w:color w:val="2B2D2E"/>
                <w:sz w:val="16"/>
              </w:rPr>
              <w:t>Zweck, Strategie, Kapitalallokation, rote Linien</w:t>
            </w:r>
          </w:p>
        </w:tc>
        <w:tc>
          <w:tcPr>
            <w:tcW w:type="dxa" w:w="3400"/>
            <w:shd w:fill="F6F1E8"/>
          </w:tcPr>
          <w:p>
            <w:pPr>
              <w:spacing w:after="0"/>
            </w:pPr>
            <w:r>
              <w:rPr>
                <w:b w:val="0"/>
                <w:color w:val="2B2D2E"/>
                <w:sz w:val="16"/>
              </w:rPr>
              <w:t>Wirkungsklausel, WÖk-Dashboard, jährliche Wirkungsprüfung</w:t>
            </w:r>
          </w:p>
        </w:tc>
      </w:tr>
      <w:tr>
        <w:tc>
          <w:tcPr>
            <w:tcW w:type="dxa" w:w="3400"/>
            <w:shd w:fill="FFFFFF"/>
          </w:tcPr>
          <w:p>
            <w:pPr>
              <w:spacing w:after="0"/>
            </w:pPr>
            <w:r>
              <w:rPr>
                <w:b w:val="0"/>
                <w:color w:val="2B2D2E"/>
                <w:sz w:val="16"/>
              </w:rPr>
              <w:t>Aufsichtsrat / Beirat</w:t>
            </w:r>
          </w:p>
        </w:tc>
        <w:tc>
          <w:tcPr>
            <w:tcW w:type="dxa" w:w="3400"/>
            <w:shd w:fill="FFFFFF"/>
          </w:tcPr>
          <w:p>
            <w:pPr>
              <w:spacing w:after="0"/>
            </w:pPr>
            <w:r>
              <w:rPr>
                <w:b w:val="0"/>
                <w:color w:val="2B2D2E"/>
                <w:sz w:val="16"/>
              </w:rPr>
              <w:t>Kontrolle von Geschäftsmodellrisiken und Transformationspfad</w:t>
            </w:r>
          </w:p>
        </w:tc>
        <w:tc>
          <w:tcPr>
            <w:tcW w:type="dxa" w:w="3400"/>
            <w:shd w:fill="FFFFFF"/>
          </w:tcPr>
          <w:p>
            <w:pPr>
              <w:spacing w:after="0"/>
            </w:pPr>
            <w:r>
              <w:rPr>
                <w:b w:val="0"/>
                <w:color w:val="2B2D2E"/>
                <w:sz w:val="16"/>
              </w:rPr>
              <w:t>Wirkungsausschuss, Stranded-Asset-Prüfung, Vergütungskriterien</w:t>
            </w:r>
          </w:p>
        </w:tc>
      </w:tr>
      <w:tr>
        <w:tc>
          <w:tcPr>
            <w:tcW w:type="dxa" w:w="3400"/>
            <w:shd w:fill="F6F1E8"/>
          </w:tcPr>
          <w:p>
            <w:pPr>
              <w:spacing w:after="0"/>
            </w:pPr>
            <w:r>
              <w:rPr>
                <w:b w:val="0"/>
                <w:color w:val="2B2D2E"/>
                <w:sz w:val="16"/>
              </w:rPr>
              <w:t>Controlling / Finance</w:t>
            </w:r>
          </w:p>
        </w:tc>
        <w:tc>
          <w:tcPr>
            <w:tcW w:type="dxa" w:w="3400"/>
            <w:shd w:fill="F6F1E8"/>
          </w:tcPr>
          <w:p>
            <w:pPr>
              <w:spacing w:after="0"/>
            </w:pPr>
            <w:r>
              <w:rPr>
                <w:b w:val="0"/>
                <w:color w:val="2B2D2E"/>
                <w:sz w:val="16"/>
              </w:rPr>
              <w:t>Verbindung von Kapital, Risiko und Wirkung</w:t>
            </w:r>
          </w:p>
        </w:tc>
        <w:tc>
          <w:tcPr>
            <w:tcW w:type="dxa" w:w="3400"/>
            <w:shd w:fill="F6F1E8"/>
          </w:tcPr>
          <w:p>
            <w:pPr>
              <w:spacing w:after="0"/>
            </w:pPr>
            <w:r>
              <w:rPr>
                <w:b w:val="0"/>
                <w:color w:val="2B2D2E"/>
                <w:sz w:val="16"/>
              </w:rPr>
              <w:t>KII, NWI, T-SROI, CapEx-Wirkungsprüfung</w:t>
            </w:r>
          </w:p>
        </w:tc>
      </w:tr>
      <w:tr>
        <w:tc>
          <w:tcPr>
            <w:tcW w:type="dxa" w:w="3400"/>
            <w:shd w:fill="FFFFFF"/>
          </w:tcPr>
          <w:p>
            <w:pPr>
              <w:spacing w:after="0"/>
            </w:pPr>
            <w:r>
              <w:rPr>
                <w:b w:val="0"/>
                <w:color w:val="2B2D2E"/>
                <w:sz w:val="16"/>
              </w:rPr>
              <w:t>HR / People &amp; Culture</w:t>
            </w:r>
          </w:p>
        </w:tc>
        <w:tc>
          <w:tcPr>
            <w:tcW w:type="dxa" w:w="3400"/>
            <w:shd w:fill="FFFFFF"/>
          </w:tcPr>
          <w:p>
            <w:pPr>
              <w:spacing w:after="0"/>
            </w:pPr>
            <w:r>
              <w:rPr>
                <w:b w:val="0"/>
                <w:color w:val="2B2D2E"/>
                <w:sz w:val="16"/>
              </w:rPr>
              <w:t>Gesunde Arbeit, Entwicklung, Wirkungskompetenz</w:t>
            </w:r>
          </w:p>
        </w:tc>
        <w:tc>
          <w:tcPr>
            <w:tcW w:type="dxa" w:w="3400"/>
            <w:shd w:fill="FFFFFF"/>
          </w:tcPr>
          <w:p>
            <w:pPr>
              <w:spacing w:after="0"/>
            </w:pPr>
            <w:r>
              <w:rPr>
                <w:b w:val="0"/>
                <w:color w:val="2B2D2E"/>
                <w:sz w:val="16"/>
              </w:rPr>
              <w:t>Weiterbildung, psychosoziale Risikoanalyse, Beteiligung</w:t>
            </w:r>
          </w:p>
        </w:tc>
      </w:tr>
      <w:tr>
        <w:tc>
          <w:tcPr>
            <w:tcW w:type="dxa" w:w="3400"/>
            <w:shd w:fill="F6F1E8"/>
          </w:tcPr>
          <w:p>
            <w:pPr>
              <w:spacing w:after="0"/>
            </w:pPr>
            <w:r>
              <w:rPr>
                <w:b w:val="0"/>
                <w:color w:val="2B2D2E"/>
                <w:sz w:val="16"/>
              </w:rPr>
              <w:t>Einkauf / Supply Chain</w:t>
            </w:r>
          </w:p>
        </w:tc>
        <w:tc>
          <w:tcPr>
            <w:tcW w:type="dxa" w:w="3400"/>
            <w:shd w:fill="F6F1E8"/>
          </w:tcPr>
          <w:p>
            <w:pPr>
              <w:spacing w:after="0"/>
            </w:pPr>
            <w:r>
              <w:rPr>
                <w:b w:val="0"/>
                <w:color w:val="2B2D2E"/>
                <w:sz w:val="16"/>
              </w:rPr>
              <w:t>Lieferkettenwirkung und Resilienz</w:t>
            </w:r>
          </w:p>
        </w:tc>
        <w:tc>
          <w:tcPr>
            <w:tcW w:type="dxa" w:w="3400"/>
            <w:shd w:fill="F6F1E8"/>
          </w:tcPr>
          <w:p>
            <w:pPr>
              <w:spacing w:after="0"/>
            </w:pPr>
            <w:r>
              <w:rPr>
                <w:b w:val="0"/>
                <w:color w:val="2B2D2E"/>
                <w:sz w:val="16"/>
              </w:rPr>
              <w:t>Lieferanten-Scorecards, WÖk-ID-Mapping, Auditplanung</w:t>
            </w:r>
          </w:p>
        </w:tc>
      </w:tr>
      <w:tr>
        <w:tc>
          <w:tcPr>
            <w:tcW w:type="dxa" w:w="3400"/>
            <w:shd w:fill="FFFFFF"/>
          </w:tcPr>
          <w:p>
            <w:pPr>
              <w:spacing w:after="0"/>
            </w:pPr>
            <w:r>
              <w:rPr>
                <w:b w:val="0"/>
                <w:color w:val="2B2D2E"/>
                <w:sz w:val="16"/>
              </w:rPr>
              <w:t>Teams</w:t>
            </w:r>
          </w:p>
        </w:tc>
        <w:tc>
          <w:tcPr>
            <w:tcW w:type="dxa" w:w="3400"/>
            <w:shd w:fill="FFFFFF"/>
          </w:tcPr>
          <w:p>
            <w:pPr>
              <w:spacing w:after="0"/>
            </w:pPr>
            <w:r>
              <w:rPr>
                <w:b w:val="0"/>
                <w:color w:val="2B2D2E"/>
                <w:sz w:val="16"/>
              </w:rPr>
              <w:t>Operative Lernschleifen und Wirkungsverbesserung</w:t>
            </w:r>
          </w:p>
        </w:tc>
        <w:tc>
          <w:tcPr>
            <w:tcW w:type="dxa" w:w="3400"/>
            <w:shd w:fill="FFFFFF"/>
          </w:tcPr>
          <w:p>
            <w:pPr>
              <w:spacing w:after="0"/>
            </w:pPr>
            <w:r>
              <w:rPr>
                <w:b w:val="0"/>
                <w:color w:val="2B2D2E"/>
                <w:sz w:val="16"/>
              </w:rPr>
              <w:t>Retrospektiven, Entscheidungstagebuch, Team-Wirkungscheck</w:t>
            </w:r>
          </w:p>
        </w:tc>
      </w:tr>
    </w:tbl>
    <w:p/>
    <w:p>
      <w:pPr>
        <w:pStyle w:val="Heading1"/>
      </w:pPr>
      <w:r>
        <w:t>7. Vergütung, Anreize und Zielvereinbarungen</w:t>
      </w:r>
    </w:p>
    <w:p>
      <w:r>
        <w:t>Vergütung ist ein starkes Signal. Wenn Boni an kurzfristige Finanzkennzahlen gekoppelt sind, wird kurzfristige Finanzoptimierung rational. Wirkungsorientierte Vergütung muss deshalb Finanzziele, Wirkungskorridore und rote Linien verbinden. Dabei gilt: Wirkung darf nicht so vereinfacht werden, dass neue Fehlanreize entstehen.</w:t>
      </w:r>
    </w:p>
    <w:p>
      <w:r>
        <w:t>Eine sinnvolle Architektur trennt Mindestbedingungen und Bonusfelder. Mindestbedingungen sind nicht verhandelbar: Arbeitsschutz, Rechtsstaatlichkeit, keine Kinderarbeit, keine gravierende Datenrechtsverletzung, keine Umweltrote Linie. Bonusfelder können positive Wirkung belohnen: CO2-Reduktion, Ressourceneffizienz, Weiterbildung, Produktwirkung, Lieferkettenverbesserung, Resilienz.</w:t>
      </w:r>
    </w:p>
    <w:p>
      <w:r>
        <w:t>Wichtig ist auch die Teamdimension. Viele Wirkungen entstehen nicht individuell, sondern systemisch. Deshalb sollten Wirkungsboni nicht nur Einzelpersonen belohnen, sondern Teams, Bereiche und Transformationsprojekte. Gleichzeitig muss vermieden werden, dass Personen mit geringerer Macht für Systemprobleme haftbar gemacht werden.</w:t>
      </w:r>
    </w:p>
    <w:p>
      <w:pPr>
        <w:pStyle w:val="Heading1"/>
      </w:pPr>
      <w:r>
        <w:t>8. Wirkungskompetenz und lernende Organisation</w:t>
      </w:r>
    </w:p>
    <w:p>
      <w:r>
        <w:t>Wirkungsorientierte Unternehmensführung braucht neue Kompetenzen: Systemdenken, Datenverständnis, SDG-/SDG+-Logik, Zielkonfliktfähigkeit, Moderation, Resonanzbewusstsein, Risikodenken, digitale Mündigkeit und ethische Urteilskraft. Diese Kompetenzen sind nicht nur für Nachhaltigkeitsteams relevant, sondern für Produktentwicklung, Einkauf, Finance, HR, Vertrieb, Kommunikation und IT.</w:t>
      </w:r>
    </w:p>
    <w:p>
      <w:r>
        <w:t>Eine lernende Organisation fragt nicht nur: Haben wir das Ziel erreicht? Sie fragt: Was hat unsere Entscheidung bewirkt? Welche Nebenwirkungen entstanden? Was haben wir über Datenqualität gelernt? Welche Annahmen waren falsch? Welche rote Linie wurde fast berührt? Welche Rückkopplung müssen wir verbessern?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Kompetenzfeld</w:t>
            </w:r>
          </w:p>
        </w:tc>
        <w:tc>
          <w:tcPr>
            <w:tcW w:type="dxa" w:w="3400"/>
            <w:shd w:fill="0B1020"/>
          </w:tcPr>
          <w:p>
            <w:pPr>
              <w:spacing w:after="0"/>
            </w:pPr>
            <w:r>
              <w:rPr>
                <w:b/>
                <w:color w:val="FFFFFF"/>
                <w:sz w:val="17"/>
              </w:rPr>
              <w:t>Beschreibung</w:t>
            </w:r>
          </w:p>
        </w:tc>
        <w:tc>
          <w:tcPr>
            <w:tcW w:type="dxa" w:w="3400"/>
            <w:shd w:fill="0B1020"/>
          </w:tcPr>
          <w:p>
            <w:pPr>
              <w:spacing w:after="0"/>
            </w:pPr>
            <w:r>
              <w:rPr>
                <w:b/>
                <w:color w:val="FFFFFF"/>
                <w:sz w:val="17"/>
              </w:rPr>
              <w:t>Umsetzung im Unternehmen</w:t>
            </w:r>
          </w:p>
        </w:tc>
      </w:tr>
      <w:tr>
        <w:tc>
          <w:tcPr>
            <w:tcW w:type="dxa" w:w="3400"/>
            <w:shd w:fill="F6F1E8"/>
          </w:tcPr>
          <w:p>
            <w:pPr>
              <w:spacing w:after="0"/>
            </w:pPr>
            <w:r>
              <w:rPr>
                <w:b w:val="0"/>
                <w:color w:val="2B2D2E"/>
                <w:sz w:val="16"/>
              </w:rPr>
              <w:t>Systemdenken</w:t>
            </w:r>
          </w:p>
        </w:tc>
        <w:tc>
          <w:tcPr>
            <w:tcW w:type="dxa" w:w="3400"/>
            <w:shd w:fill="F6F1E8"/>
          </w:tcPr>
          <w:p>
            <w:pPr>
              <w:spacing w:after="0"/>
            </w:pPr>
            <w:r>
              <w:rPr>
                <w:b w:val="0"/>
                <w:color w:val="2B2D2E"/>
                <w:sz w:val="16"/>
              </w:rPr>
              <w:t>Wechselwirkungen, Rückkopplungen und Engpässe verstehen</w:t>
            </w:r>
          </w:p>
        </w:tc>
        <w:tc>
          <w:tcPr>
            <w:tcW w:type="dxa" w:w="3400"/>
            <w:shd w:fill="F6F1E8"/>
          </w:tcPr>
          <w:p>
            <w:pPr>
              <w:spacing w:after="0"/>
            </w:pPr>
            <w:r>
              <w:rPr>
                <w:b w:val="0"/>
                <w:color w:val="2B2D2E"/>
                <w:sz w:val="16"/>
              </w:rPr>
              <w:t>Trainings, Fallstudien, Wirkungslabore</w:t>
            </w:r>
          </w:p>
        </w:tc>
      </w:tr>
      <w:tr>
        <w:tc>
          <w:tcPr>
            <w:tcW w:type="dxa" w:w="3400"/>
            <w:shd w:fill="FFFFFF"/>
          </w:tcPr>
          <w:p>
            <w:pPr>
              <w:spacing w:after="0"/>
            </w:pPr>
            <w:r>
              <w:rPr>
                <w:b w:val="0"/>
                <w:color w:val="2B2D2E"/>
                <w:sz w:val="16"/>
              </w:rPr>
              <w:t>Datenkompetenz</w:t>
            </w:r>
          </w:p>
        </w:tc>
        <w:tc>
          <w:tcPr>
            <w:tcW w:type="dxa" w:w="3400"/>
            <w:shd w:fill="FFFFFF"/>
          </w:tcPr>
          <w:p>
            <w:pPr>
              <w:spacing w:after="0"/>
            </w:pPr>
            <w:r>
              <w:rPr>
                <w:b w:val="0"/>
                <w:color w:val="2B2D2E"/>
                <w:sz w:val="16"/>
              </w:rPr>
              <w:t>ESRS, WÖk-IDs, Scorecards und Unsicherheit lesen</w:t>
            </w:r>
          </w:p>
        </w:tc>
        <w:tc>
          <w:tcPr>
            <w:tcW w:type="dxa" w:w="3400"/>
            <w:shd w:fill="FFFFFF"/>
          </w:tcPr>
          <w:p>
            <w:pPr>
              <w:spacing w:after="0"/>
            </w:pPr>
            <w:r>
              <w:rPr>
                <w:b w:val="0"/>
                <w:color w:val="2B2D2E"/>
                <w:sz w:val="16"/>
              </w:rPr>
              <w:t>Datenworkshops, DPP-/Scorecard-Demos</w:t>
            </w:r>
          </w:p>
        </w:tc>
      </w:tr>
      <w:tr>
        <w:tc>
          <w:tcPr>
            <w:tcW w:type="dxa" w:w="3400"/>
            <w:shd w:fill="F6F1E8"/>
          </w:tcPr>
          <w:p>
            <w:pPr>
              <w:spacing w:after="0"/>
            </w:pPr>
            <w:r>
              <w:rPr>
                <w:b w:val="0"/>
                <w:color w:val="2B2D2E"/>
                <w:sz w:val="16"/>
              </w:rPr>
              <w:t>Zielkonfliktfähigkeit</w:t>
            </w:r>
          </w:p>
        </w:tc>
        <w:tc>
          <w:tcPr>
            <w:tcW w:type="dxa" w:w="3400"/>
            <w:shd w:fill="F6F1E8"/>
          </w:tcPr>
          <w:p>
            <w:pPr>
              <w:spacing w:after="0"/>
            </w:pPr>
            <w:r>
              <w:rPr>
                <w:b w:val="0"/>
                <w:color w:val="2B2D2E"/>
                <w:sz w:val="16"/>
              </w:rPr>
              <w:t>Wirkung, Kosten, Recht, Zeit, Akzeptanz austarieren</w:t>
            </w:r>
          </w:p>
        </w:tc>
        <w:tc>
          <w:tcPr>
            <w:tcW w:type="dxa" w:w="3400"/>
            <w:shd w:fill="F6F1E8"/>
          </w:tcPr>
          <w:p>
            <w:pPr>
              <w:spacing w:after="0"/>
            </w:pPr>
            <w:r>
              <w:rPr>
                <w:b w:val="0"/>
                <w:color w:val="2B2D2E"/>
                <w:sz w:val="16"/>
              </w:rPr>
              <w:t>Entscheidungsboards, Moderation, Dokumentation</w:t>
            </w:r>
          </w:p>
        </w:tc>
      </w:tr>
      <w:tr>
        <w:tc>
          <w:tcPr>
            <w:tcW w:type="dxa" w:w="3400"/>
            <w:shd w:fill="FFFFFF"/>
          </w:tcPr>
          <w:p>
            <w:pPr>
              <w:spacing w:after="0"/>
            </w:pPr>
            <w:r>
              <w:rPr>
                <w:b w:val="0"/>
                <w:color w:val="2B2D2E"/>
                <w:sz w:val="16"/>
              </w:rPr>
              <w:t>Führungskompetenz</w:t>
            </w:r>
          </w:p>
        </w:tc>
        <w:tc>
          <w:tcPr>
            <w:tcW w:type="dxa" w:w="3400"/>
            <w:shd w:fill="FFFFFF"/>
          </w:tcPr>
          <w:p>
            <w:pPr>
              <w:spacing w:after="0"/>
            </w:pPr>
            <w:r>
              <w:rPr>
                <w:b w:val="0"/>
                <w:color w:val="2B2D2E"/>
                <w:sz w:val="16"/>
              </w:rPr>
              <w:t>Sichere Räume, Rollen, Verantwortung, Feedback</w:t>
            </w:r>
          </w:p>
        </w:tc>
        <w:tc>
          <w:tcPr>
            <w:tcW w:type="dxa" w:w="3400"/>
            <w:shd w:fill="FFFFFF"/>
          </w:tcPr>
          <w:p>
            <w:pPr>
              <w:spacing w:after="0"/>
            </w:pPr>
            <w:r>
              <w:rPr>
                <w:b w:val="0"/>
                <w:color w:val="2B2D2E"/>
                <w:sz w:val="16"/>
              </w:rPr>
              <w:t>Führungsausbildung, 360°-Reflexion ohne Scoring</w:t>
            </w:r>
          </w:p>
        </w:tc>
      </w:tr>
      <w:tr>
        <w:tc>
          <w:tcPr>
            <w:tcW w:type="dxa" w:w="3400"/>
            <w:shd w:fill="F6F1E8"/>
          </w:tcPr>
          <w:p>
            <w:pPr>
              <w:spacing w:after="0"/>
            </w:pPr>
            <w:r>
              <w:rPr>
                <w:b w:val="0"/>
                <w:color w:val="2B2D2E"/>
                <w:sz w:val="16"/>
              </w:rPr>
              <w:t>Demokratie- und Diskurskompetenz</w:t>
            </w:r>
          </w:p>
        </w:tc>
        <w:tc>
          <w:tcPr>
            <w:tcW w:type="dxa" w:w="3400"/>
            <w:shd w:fill="F6F1E8"/>
          </w:tcPr>
          <w:p>
            <w:pPr>
              <w:spacing w:after="0"/>
            </w:pPr>
            <w:r>
              <w:rPr>
                <w:b w:val="0"/>
                <w:color w:val="2B2D2E"/>
                <w:sz w:val="16"/>
              </w:rPr>
              <w:t>Kommunikation ohne Manipulation, Vertrauen, Quellenklarheit</w:t>
            </w:r>
          </w:p>
        </w:tc>
        <w:tc>
          <w:tcPr>
            <w:tcW w:type="dxa" w:w="3400"/>
            <w:shd w:fill="F6F1E8"/>
          </w:tcPr>
          <w:p>
            <w:pPr>
              <w:spacing w:after="0"/>
            </w:pPr>
            <w:r>
              <w:rPr>
                <w:b w:val="0"/>
                <w:color w:val="2B2D2E"/>
                <w:sz w:val="16"/>
              </w:rPr>
              <w:t>Responsible-Marketing-Regeln, Kommunikationsleitlinien</w:t>
            </w:r>
          </w:p>
        </w:tc>
      </w:tr>
    </w:tbl>
    <w:p/>
    <w:p>
      <w:pPr>
        <w:pStyle w:val="Heading1"/>
      </w:pPr>
      <w:r>
        <w:t>9. Schutz vor Missbrauch: keine Personenbewertung, keine Datenherrschaft</w:t>
      </w:r>
    </w:p>
    <w:p>
      <w:r>
        <w:t>Wirkungsorientierte Führung darf nicht in Überwachung kippen. Die Grenze ist klar: Es werden Wirkungsräume, Prozesse, Entscheidungen und Organisationsbedingungen bewertet, nicht der Wert von Menschen. Mitarbeitende sind keine Score-Objekte. Daten dürfen nicht dazu dienen, Druck, Angst oder Ausschluss zu erzeugen.</w:t>
      </w:r>
    </w:p>
    <w:p>
      <w:r>
        <w:t>Der Schutz braucht technische und institutionelle Regeln: Datensparsamkeit, Zweckbindung, Betriebsrats-/Mitbestimmungsrechte, transparente Algorithmen, Beschwerdewege, Auditierbarkeit, keine Black-Box-Bewertungen, klare Trennung zwischen Personalfeedback und Wirkungscontrolling.</w:t>
      </w:r>
    </w:p>
    <w:p>
      <w:r>
        <w:t>Damit unterscheidet sich die WÖk fundamental von Social Credit. Wirkungsmessung bereitet bessere Systementscheidungen vor. Sie ist kein individuelles Wohlverhaltensregister.</w:t>
      </w:r>
    </w:p>
    <w:p>
      <w:pPr>
        <w:pStyle w:val="Heading1"/>
      </w:pPr>
      <w:r>
        <w:t>10. KMU-Tauglichkeit und Übergangspfad</w:t>
      </w:r>
    </w:p>
    <w:p>
      <w:r>
        <w:t>Kleine und mittlere Unternehmen dürfen nicht mit der gleichen Komplexität belastet werden wie Konzerne. Wirkungsorientierte Führung muss skalierbar sein. Für KMU reicht zunächst ein vereinfachter Wirkungscheck: Zweck, rote Linien, fünf zentrale Datenfelder, Lieferkettenrisiken, gesunde Arbeit, Produktwirkung, Transformationspriorität.</w:t>
      </w:r>
    </w:p>
    <w:p>
      <w:r>
        <w:t>KMU brauchen Vorlagen, Branchenbenchmarks, digitale Tools, Kammerberatung und klare Stufen. Nicht jedes kleine Unternehmen braucht sofort eine komplexe Scorecard. Aber jedes Unternehmen kann klären, wo seine wichtigsten Wirkungspunkte liegen und welche Daten für Banken, Versicherungen, Kund:innen und künftige Regulierung relevant werden.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Stufe</w:t>
            </w:r>
          </w:p>
        </w:tc>
        <w:tc>
          <w:tcPr>
            <w:tcW w:type="dxa" w:w="3400"/>
            <w:shd w:fill="0B1020"/>
          </w:tcPr>
          <w:p>
            <w:pPr>
              <w:spacing w:after="0"/>
            </w:pPr>
            <w:r>
              <w:rPr>
                <w:b/>
                <w:color w:val="FFFFFF"/>
                <w:sz w:val="17"/>
              </w:rPr>
              <w:t>KMU-tauglicher Schritt</w:t>
            </w:r>
          </w:p>
        </w:tc>
        <w:tc>
          <w:tcPr>
            <w:tcW w:type="dxa" w:w="3400"/>
            <w:shd w:fill="0B1020"/>
          </w:tcPr>
          <w:p>
            <w:pPr>
              <w:spacing w:after="0"/>
            </w:pPr>
            <w:r>
              <w:rPr>
                <w:b/>
                <w:color w:val="FFFFFF"/>
                <w:sz w:val="17"/>
              </w:rPr>
              <w:t>Ergebnis</w:t>
            </w:r>
          </w:p>
        </w:tc>
      </w:tr>
      <w:tr>
        <w:tc>
          <w:tcPr>
            <w:tcW w:type="dxa" w:w="3400"/>
            <w:shd w:fill="F6F1E8"/>
          </w:tcPr>
          <w:p>
            <w:pPr>
              <w:spacing w:after="0"/>
            </w:pPr>
            <w:r>
              <w:rPr>
                <w:b w:val="0"/>
                <w:color w:val="2B2D2E"/>
                <w:sz w:val="16"/>
              </w:rPr>
              <w:t>0. Orientierung</w:t>
            </w:r>
          </w:p>
        </w:tc>
        <w:tc>
          <w:tcPr>
            <w:tcW w:type="dxa" w:w="3400"/>
            <w:shd w:fill="F6F1E8"/>
          </w:tcPr>
          <w:p>
            <w:pPr>
              <w:spacing w:after="0"/>
            </w:pPr>
            <w:r>
              <w:rPr>
                <w:b w:val="0"/>
                <w:color w:val="2B2D2E"/>
                <w:sz w:val="16"/>
              </w:rPr>
              <w:t>Kurzcheck Wirkung statt Kapital</w:t>
            </w:r>
          </w:p>
        </w:tc>
        <w:tc>
          <w:tcPr>
            <w:tcW w:type="dxa" w:w="3400"/>
            <w:shd w:fill="F6F1E8"/>
          </w:tcPr>
          <w:p>
            <w:pPr>
              <w:spacing w:after="0"/>
            </w:pPr>
            <w:r>
              <w:rPr>
                <w:b w:val="0"/>
                <w:color w:val="2B2D2E"/>
                <w:sz w:val="16"/>
              </w:rPr>
              <w:t>Grundverständnis und Prioritäten</w:t>
            </w:r>
          </w:p>
        </w:tc>
      </w:tr>
      <w:tr>
        <w:tc>
          <w:tcPr>
            <w:tcW w:type="dxa" w:w="3400"/>
            <w:shd w:fill="FFFFFF"/>
          </w:tcPr>
          <w:p>
            <w:pPr>
              <w:spacing w:after="0"/>
            </w:pPr>
            <w:r>
              <w:rPr>
                <w:b w:val="0"/>
                <w:color w:val="2B2D2E"/>
                <w:sz w:val="16"/>
              </w:rPr>
              <w:t>1. Rote Linien</w:t>
            </w:r>
          </w:p>
        </w:tc>
        <w:tc>
          <w:tcPr>
            <w:tcW w:type="dxa" w:w="3400"/>
            <w:shd w:fill="FFFFFF"/>
          </w:tcPr>
          <w:p>
            <w:pPr>
              <w:spacing w:after="0"/>
            </w:pPr>
            <w:r>
              <w:rPr>
                <w:b w:val="0"/>
                <w:color w:val="2B2D2E"/>
                <w:sz w:val="16"/>
              </w:rPr>
              <w:t>Prüfung Arbeitsschutz, Recht, Lieferkette, Umwelt</w:t>
            </w:r>
          </w:p>
        </w:tc>
        <w:tc>
          <w:tcPr>
            <w:tcW w:type="dxa" w:w="3400"/>
            <w:shd w:fill="FFFFFF"/>
          </w:tcPr>
          <w:p>
            <w:pPr>
              <w:spacing w:after="0"/>
            </w:pPr>
            <w:r>
              <w:rPr>
                <w:b w:val="0"/>
                <w:color w:val="2B2D2E"/>
                <w:sz w:val="16"/>
              </w:rPr>
              <w:t>Mindestschutz und Risikoabbau</w:t>
            </w:r>
          </w:p>
        </w:tc>
      </w:tr>
      <w:tr>
        <w:tc>
          <w:tcPr>
            <w:tcW w:type="dxa" w:w="3400"/>
            <w:shd w:fill="F6F1E8"/>
          </w:tcPr>
          <w:p>
            <w:pPr>
              <w:spacing w:after="0"/>
            </w:pPr>
            <w:r>
              <w:rPr>
                <w:b w:val="0"/>
                <w:color w:val="2B2D2E"/>
                <w:sz w:val="16"/>
              </w:rPr>
              <w:t>2. Datenbasis</w:t>
            </w:r>
          </w:p>
        </w:tc>
        <w:tc>
          <w:tcPr>
            <w:tcW w:type="dxa" w:w="3400"/>
            <w:shd w:fill="F6F1E8"/>
          </w:tcPr>
          <w:p>
            <w:pPr>
              <w:spacing w:after="0"/>
            </w:pPr>
            <w:r>
              <w:rPr>
                <w:b w:val="0"/>
                <w:color w:val="2B2D2E"/>
                <w:sz w:val="16"/>
              </w:rPr>
              <w:t>5-10 Kernindikatoren je Branche</w:t>
            </w:r>
          </w:p>
        </w:tc>
        <w:tc>
          <w:tcPr>
            <w:tcW w:type="dxa" w:w="3400"/>
            <w:shd w:fill="F6F1E8"/>
          </w:tcPr>
          <w:p>
            <w:pPr>
              <w:spacing w:after="0"/>
            </w:pPr>
            <w:r>
              <w:rPr>
                <w:b w:val="0"/>
                <w:color w:val="2B2D2E"/>
                <w:sz w:val="16"/>
              </w:rPr>
              <w:t>Banken-/Kundenfähigkeit</w:t>
            </w:r>
          </w:p>
        </w:tc>
      </w:tr>
      <w:tr>
        <w:tc>
          <w:tcPr>
            <w:tcW w:type="dxa" w:w="3400"/>
            <w:shd w:fill="FFFFFF"/>
          </w:tcPr>
          <w:p>
            <w:pPr>
              <w:spacing w:after="0"/>
            </w:pPr>
            <w:r>
              <w:rPr>
                <w:b w:val="0"/>
                <w:color w:val="2B2D2E"/>
                <w:sz w:val="16"/>
              </w:rPr>
              <w:t>3. Führung</w:t>
            </w:r>
          </w:p>
        </w:tc>
        <w:tc>
          <w:tcPr>
            <w:tcW w:type="dxa" w:w="3400"/>
            <w:shd w:fill="FFFFFF"/>
          </w:tcPr>
          <w:p>
            <w:pPr>
              <w:spacing w:after="0"/>
            </w:pPr>
            <w:r>
              <w:rPr>
                <w:b w:val="0"/>
                <w:color w:val="2B2D2E"/>
                <w:sz w:val="16"/>
              </w:rPr>
              <w:t>Rollen, Feedback, gesunde Arbeit, Lernschleifen</w:t>
            </w:r>
          </w:p>
        </w:tc>
        <w:tc>
          <w:tcPr>
            <w:tcW w:type="dxa" w:w="3400"/>
            <w:shd w:fill="FFFFFF"/>
          </w:tcPr>
          <w:p>
            <w:pPr>
              <w:spacing w:after="0"/>
            </w:pPr>
            <w:r>
              <w:rPr>
                <w:b w:val="0"/>
                <w:color w:val="2B2D2E"/>
                <w:sz w:val="16"/>
              </w:rPr>
              <w:t>Wirkungsorientierte Arbeitsorganisation</w:t>
            </w:r>
          </w:p>
        </w:tc>
      </w:tr>
      <w:tr>
        <w:tc>
          <w:tcPr>
            <w:tcW w:type="dxa" w:w="3400"/>
            <w:shd w:fill="F6F1E8"/>
          </w:tcPr>
          <w:p>
            <w:pPr>
              <w:spacing w:after="0"/>
            </w:pPr>
            <w:r>
              <w:rPr>
                <w:b w:val="0"/>
                <w:color w:val="2B2D2E"/>
                <w:sz w:val="16"/>
              </w:rPr>
              <w:t>4. Markt</w:t>
            </w:r>
          </w:p>
        </w:tc>
        <w:tc>
          <w:tcPr>
            <w:tcW w:type="dxa" w:w="3400"/>
            <w:shd w:fill="F6F1E8"/>
          </w:tcPr>
          <w:p>
            <w:pPr>
              <w:spacing w:after="0"/>
            </w:pPr>
            <w:r>
              <w:rPr>
                <w:b w:val="0"/>
                <w:color w:val="2B2D2E"/>
                <w:sz w:val="16"/>
              </w:rPr>
              <w:t>Produktwirkung und Kundenkommunikation</w:t>
            </w:r>
          </w:p>
        </w:tc>
        <w:tc>
          <w:tcPr>
            <w:tcW w:type="dxa" w:w="3400"/>
            <w:shd w:fill="F6F1E8"/>
          </w:tcPr>
          <w:p>
            <w:pPr>
              <w:spacing w:after="0"/>
            </w:pPr>
            <w:r>
              <w:rPr>
                <w:b w:val="0"/>
                <w:color w:val="2B2D2E"/>
                <w:sz w:val="16"/>
              </w:rPr>
              <w:t>Wettbewerbsvorteil durch Wirkung</w:t>
            </w:r>
          </w:p>
        </w:tc>
      </w:tr>
      <w:tr>
        <w:tc>
          <w:tcPr>
            <w:tcW w:type="dxa" w:w="3400"/>
            <w:shd w:fill="FFFFFF"/>
          </w:tcPr>
          <w:p>
            <w:pPr>
              <w:spacing w:after="0"/>
            </w:pPr>
            <w:r>
              <w:rPr>
                <w:b w:val="0"/>
                <w:color w:val="2B2D2E"/>
                <w:sz w:val="16"/>
              </w:rPr>
              <w:t>5. Transformation</w:t>
            </w:r>
          </w:p>
        </w:tc>
        <w:tc>
          <w:tcPr>
            <w:tcW w:type="dxa" w:w="3400"/>
            <w:shd w:fill="FFFFFF"/>
          </w:tcPr>
          <w:p>
            <w:pPr>
              <w:spacing w:after="0"/>
            </w:pPr>
            <w:r>
              <w:rPr>
                <w:b w:val="0"/>
                <w:color w:val="2B2D2E"/>
                <w:sz w:val="16"/>
              </w:rPr>
              <w:t>CapEx-/Investitionspfad nach T-SROI</w:t>
            </w:r>
          </w:p>
        </w:tc>
        <w:tc>
          <w:tcPr>
            <w:tcW w:type="dxa" w:w="3400"/>
            <w:shd w:fill="FFFFFF"/>
          </w:tcPr>
          <w:p>
            <w:pPr>
              <w:spacing w:after="0"/>
            </w:pPr>
            <w:r>
              <w:rPr>
                <w:b w:val="0"/>
                <w:color w:val="2B2D2E"/>
                <w:sz w:val="16"/>
              </w:rPr>
              <w:t>Zukunftsfähiger Umbau</w:t>
            </w:r>
          </w:p>
        </w:tc>
      </w:tr>
    </w:tbl>
    <w:p/>
    <w:p>
      <w:pPr>
        <w:pStyle w:val="Heading1"/>
      </w:pPr>
      <w:r>
        <w:t>11. Tool- und Websitebezug</w:t>
      </w:r>
    </w:p>
    <w:p>
      <w:r>
        <w:t>Für die Website sollte dieses Detailkonzept mit einer Tool-Suite verbunden werden: Unternehmens-Wirkungscheck, KII-Dashboard, Team-Wirkungsraum-Check, Führungskompass, Wirkungsziel-Generator, Entscheidungslogbuch, Vergütungslogik-Check und KMU-Wirkungsstart.</w:t>
      </w:r>
    </w:p>
    <w:p>
      <w:r>
        <w:t>Die Tools müssen klar kennzeichnen: Sie sind keine Personenbewertung, keine arbeitsrechtliche Beurteilung und keine automatische Managemententscheidung. Sie unterstützen Reflexion, Priorisierung und Strukturierung.</w:t>
      </w:r>
    </w:p>
    <w:p>
      <w:pPr>
        <w:pStyle w:val="Heading1"/>
      </w:pPr>
      <w:r>
        <w:t>12. Politische Anschlussfähigkeit und Umsetzungsoptionen</w:t>
      </w:r>
    </w:p>
    <w:p>
      <w:r>
        <w:t>Politisch ist wirkungsorientierte Unternehmensführung anschlussfähig, weil sie keine einheitliche Organisationsform vorschreibt. Unternehmen können marktwirtschaftlich, genossenschaftlich, familiengeführt, kapitalmarktorientiert, sozialunternehmerisch oder kommunal sein. Entscheidend ist, dass Wirkung sichtbar, prüfbar und korrigierbar wird.</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5100"/>
            <w:shd w:fill="0B1020"/>
          </w:tcPr>
          <w:p>
            <w:pPr>
              <w:spacing w:after="0"/>
            </w:pPr>
            <w:r>
              <w:rPr>
                <w:b/>
                <w:color w:val="FFFFFF"/>
                <w:sz w:val="17"/>
              </w:rPr>
              <w:t>Ebene</w:t>
            </w:r>
          </w:p>
        </w:tc>
        <w:tc>
          <w:tcPr>
            <w:tcW w:type="dxa" w:w="5100"/>
            <w:shd w:fill="0B1020"/>
          </w:tcPr>
          <w:p>
            <w:pPr>
              <w:spacing w:after="0"/>
            </w:pPr>
            <w:r>
              <w:rPr>
                <w:b/>
                <w:color w:val="FFFFFF"/>
                <w:sz w:val="17"/>
              </w:rPr>
              <w:t>Aufgabe für Politik und Umsetzung</w:t>
            </w:r>
          </w:p>
        </w:tc>
      </w:tr>
      <w:tr>
        <w:tc>
          <w:tcPr>
            <w:tcW w:type="dxa" w:w="5100"/>
            <w:shd w:fill="F6F1E8"/>
          </w:tcPr>
          <w:p>
            <w:pPr>
              <w:spacing w:after="0"/>
            </w:pPr>
            <w:r>
              <w:rPr>
                <w:b w:val="0"/>
                <w:color w:val="2B2D2E"/>
                <w:sz w:val="16"/>
              </w:rPr>
              <w:t>Aufgabe der Politik</w:t>
            </w:r>
          </w:p>
        </w:tc>
        <w:tc>
          <w:tcPr>
            <w:tcW w:type="dxa" w:w="5100"/>
            <w:shd w:fill="F6F1E8"/>
          </w:tcPr>
          <w:p>
            <w:pPr>
              <w:spacing w:after="0"/>
            </w:pPr>
            <w:r>
              <w:rPr>
                <w:b w:val="0"/>
                <w:color w:val="2B2D2E"/>
                <w:sz w:val="16"/>
              </w:rPr>
              <w:t>Rahmen für gute Unternehmensführung schaffen, ohne Unternehmen in Mikromanagement zu zwingen.</w:t>
            </w:r>
          </w:p>
        </w:tc>
      </w:tr>
      <w:tr>
        <w:tc>
          <w:tcPr>
            <w:tcW w:type="dxa" w:w="5100"/>
            <w:shd w:fill="FFFFFF"/>
          </w:tcPr>
          <w:p>
            <w:pPr>
              <w:spacing w:after="0"/>
            </w:pPr>
            <w:r>
              <w:rPr>
                <w:b w:val="0"/>
                <w:color w:val="2B2D2E"/>
                <w:sz w:val="16"/>
              </w:rPr>
              <w:t>Politische Rahmenbedingungen</w:t>
            </w:r>
          </w:p>
        </w:tc>
        <w:tc>
          <w:tcPr>
            <w:tcW w:type="dxa" w:w="5100"/>
            <w:shd w:fill="FFFFFF"/>
          </w:tcPr>
          <w:p>
            <w:pPr>
              <w:spacing w:after="0"/>
            </w:pPr>
            <w:r>
              <w:rPr>
                <w:b w:val="0"/>
                <w:color w:val="2B2D2E"/>
                <w:sz w:val="16"/>
              </w:rPr>
              <w:t>CSRD-/ESRS-Nutzung, Corporate Governance Kodex, Mitbestimmung, KMU-Beratung, Datenschutz, KI-Regeln.</w:t>
            </w:r>
          </w:p>
        </w:tc>
      </w:tr>
      <w:tr>
        <w:tc>
          <w:tcPr>
            <w:tcW w:type="dxa" w:w="5100"/>
            <w:shd w:fill="F6F1E8"/>
          </w:tcPr>
          <w:p>
            <w:pPr>
              <w:spacing w:after="0"/>
            </w:pPr>
            <w:r>
              <w:rPr>
                <w:b w:val="0"/>
                <w:color w:val="2B2D2E"/>
                <w:sz w:val="16"/>
              </w:rPr>
              <w:t>Ausgestaltungsspielraum</w:t>
            </w:r>
          </w:p>
        </w:tc>
        <w:tc>
          <w:tcPr>
            <w:tcW w:type="dxa" w:w="5100"/>
            <w:shd w:fill="F6F1E8"/>
          </w:tcPr>
          <w:p>
            <w:pPr>
              <w:spacing w:after="0"/>
            </w:pPr>
            <w:r>
              <w:rPr>
                <w:b w:val="0"/>
                <w:color w:val="2B2D2E"/>
                <w:sz w:val="16"/>
              </w:rPr>
              <w:t>Freiwillige Leitlinien, gesetzliche Mindeststandards, öffentliche Beschaffung, Steueranreize, Förderprogramme und Pilotprojekte sind unterschiedlich kombinierbar.</w:t>
            </w:r>
          </w:p>
        </w:tc>
      </w:tr>
      <w:tr>
        <w:tc>
          <w:tcPr>
            <w:tcW w:type="dxa" w:w="5100"/>
            <w:shd w:fill="FFFFFF"/>
          </w:tcPr>
          <w:p>
            <w:pPr>
              <w:spacing w:after="0"/>
            </w:pPr>
            <w:r>
              <w:rPr>
                <w:b w:val="0"/>
                <w:color w:val="2B2D2E"/>
                <w:sz w:val="16"/>
              </w:rPr>
              <w:t>Zielkonflikte</w:t>
            </w:r>
          </w:p>
        </w:tc>
        <w:tc>
          <w:tcPr>
            <w:tcW w:type="dxa" w:w="5100"/>
            <w:shd w:fill="FFFFFF"/>
          </w:tcPr>
          <w:p>
            <w:pPr>
              <w:spacing w:after="0"/>
            </w:pPr>
            <w:r>
              <w:rPr>
                <w:b w:val="0"/>
                <w:color w:val="2B2D2E"/>
                <w:sz w:val="16"/>
              </w:rPr>
              <w:t>Bürokratie vs. Verbindlichkeit, Führungsspielraum vs. Schutzrechte, Innovation vs. Vorsorge, Datenschutz vs. Lernfähigkeit.</w:t>
            </w:r>
          </w:p>
        </w:tc>
      </w:tr>
      <w:tr>
        <w:tc>
          <w:tcPr>
            <w:tcW w:type="dxa" w:w="5100"/>
            <w:shd w:fill="F6F1E8"/>
          </w:tcPr>
          <w:p>
            <w:pPr>
              <w:spacing w:after="0"/>
            </w:pPr>
            <w:r>
              <w:rPr>
                <w:b w:val="0"/>
                <w:color w:val="2B2D2E"/>
                <w:sz w:val="16"/>
              </w:rPr>
              <w:t>Rollenverteilung</w:t>
            </w:r>
          </w:p>
        </w:tc>
        <w:tc>
          <w:tcPr>
            <w:tcW w:type="dxa" w:w="5100"/>
            <w:shd w:fill="F6F1E8"/>
          </w:tcPr>
          <w:p>
            <w:pPr>
              <w:spacing w:after="0"/>
            </w:pPr>
            <w:r>
              <w:rPr>
                <w:b w:val="0"/>
                <w:color w:val="2B2D2E"/>
                <w:sz w:val="16"/>
              </w:rPr>
              <w:t>Unternehmen gestalten; Politik setzt Rahmen; Kammern beraten; Beschäftigte und Betriebsräte sichern Rückkopplung; Wissenschaft evaluiert.</w:t>
            </w:r>
          </w:p>
        </w:tc>
      </w:tr>
      <w:tr>
        <w:tc>
          <w:tcPr>
            <w:tcW w:type="dxa" w:w="5100"/>
            <w:shd w:fill="FFFFFF"/>
          </w:tcPr>
          <w:p>
            <w:pPr>
              <w:spacing w:after="0"/>
            </w:pPr>
            <w:r>
              <w:rPr>
                <w:b w:val="0"/>
                <w:color w:val="2B2D2E"/>
                <w:sz w:val="16"/>
              </w:rPr>
              <w:t>Schutz vor Technokratie</w:t>
            </w:r>
          </w:p>
        </w:tc>
        <w:tc>
          <w:tcPr>
            <w:tcW w:type="dxa" w:w="5100"/>
            <w:shd w:fill="FFFFFF"/>
          </w:tcPr>
          <w:p>
            <w:pPr>
              <w:spacing w:after="0"/>
            </w:pPr>
            <w:r>
              <w:rPr>
                <w:b w:val="0"/>
                <w:color w:val="2B2D2E"/>
                <w:sz w:val="16"/>
              </w:rPr>
              <w:t>Keine automatische Führung durch Kennzahlen. Entscheidung bleibt menschlich, begründet, rechtsstaatlich und überprüfbar.</w:t>
            </w:r>
          </w:p>
        </w:tc>
      </w:tr>
    </w:tbl>
    <w:p/>
    <w:p>
      <w:pPr>
        <w:pStyle w:val="Heading1"/>
      </w:pPr>
      <w:r>
        <w:t>13. Website- und Portalintegration</w:t>
      </w:r>
    </w:p>
    <w:p>
      <w:r>
        <w:t>Dieses Detailkonzept wird als Vertiefung „Wirkungsorientierte Unternehmensführung inkl. Mitarbeiterführung“ im Portal Wirtschaft &amp; Unternehmen eingebunden. Bestehende Kurztexte bleiben als Portal-Einstieg, werden aber nicht mehr als Detailkonzept bezeichnet.</w:t>
      </w:r>
    </w:p>
    <w:p>
      <w:r>
        <w:t>Querverlinkungen: Arbeit &amp; Einkommen, Bildung/Wirkungskompetenz, Impact Controlling, T-SROI, WÖk-IDs, Scorecards, Medien/Responsible Communication, Digitalisierung/KI-Governance, Finanzsystem/Kapital.</w:t>
      </w:r>
    </w:p>
    <w:p>
      <w:pPr>
        <w:pStyle w:val="Heading1"/>
      </w:pPr>
      <w:r>
        <w:t>14. Fazit</w:t>
      </w:r>
    </w:p>
    <w:p>
      <w:r>
        <w:t>Wirkungsorientierte Unternehmensführung ist die praktische Übersetzung der Wirkungsökonomie in Führung, Kultur und Organisation. Sie macht Unternehmen nicht weniger unternehmerisch, sondern zukunftsfähiger: bessere Daten, bessere Entscheidungen, weniger blinde Risiken, mehr Lernfähigkeit und ein klarerer Zusammenhang zwischen Gewinn und gesellschaftlicher Tragfähigkeit.</w:t>
      </w:r>
    </w:p>
    <w:p>
      <w:r>
        <w:t>Der entscheidende Satz lautet: Führung ist nicht Kontrolle über Menschen, sondern Verantwortung für Wirkungsräume.</w:t>
      </w:r>
    </w:p>
    <w:p>
      <w:pPr>
        <w:pStyle w:val="Heading1"/>
      </w:pPr>
      <w:r>
        <w:t>Quellen- und Anschlussregister</w:t>
      </w:r>
    </w:p>
    <w:p>
      <w:r>
        <w:t>Dieses Register dient der öffentlichen Nachvollziehbarkeit. Es ersetzt keine juristische Prüfung und enthält keine internen Repository- oder CodeX-Informationen.</w:t>
      </w:r>
    </w:p>
    <w:p>
      <w:pPr>
        <w:pStyle w:val="ListBullet"/>
      </w:pPr>
      <w:r>
        <w:rPr>
          <w:b/>
        </w:rPr>
        <w:t xml:space="preserve">Führender Begriffsleitfaden der Wirkungsökonomie v1.0: </w:t>
      </w:r>
      <w:r>
        <w:t>Natalie Weber, 2026</w:t>
      </w:r>
    </w:p>
    <w:p>
      <w:pPr>
        <w:pStyle w:val="ListBullet"/>
      </w:pPr>
      <w:r>
        <w:rPr>
          <w:b/>
        </w:rPr>
        <w:t xml:space="preserve">Die neue Ordnung des Wohlstands - Buchanker Teil VII Unternehmen, Management und Wertschöpfung: </w:t>
      </w:r>
      <w:r>
        <w:t>Natalie Weber, 2026</w:t>
      </w:r>
    </w:p>
    <w:p>
      <w:pPr>
        <w:pStyle w:val="ListBullet"/>
      </w:pPr>
      <w:r>
        <w:rPr>
          <w:b/>
        </w:rPr>
        <w:t xml:space="preserve">Systemmodell der Wirkungsökonomie: </w:t>
      </w:r>
      <w:r>
        <w:t>Natalie Weber</w:t>
      </w:r>
    </w:p>
    <w:p>
      <w:pPr>
        <w:pStyle w:val="ListBullet"/>
      </w:pPr>
      <w:r>
        <w:rPr>
          <w:b/>
        </w:rPr>
        <w:t xml:space="preserve">Technische Leitlinien zum Wirkungssteuergesetz (WUStG): </w:t>
      </w:r>
      <w:r>
        <w:t>Natalie Weber</w:t>
      </w:r>
    </w:p>
    <w:p>
      <w:pPr>
        <w:pStyle w:val="ListBullet"/>
      </w:pPr>
      <w:r>
        <w:rPr>
          <w:b/>
        </w:rPr>
        <w:t xml:space="preserve">Whitepaper T-SROI: </w:t>
      </w:r>
      <w:r>
        <w:t>Natalie Weber</w:t>
      </w:r>
    </w:p>
    <w:p>
      <w:pPr>
        <w:pStyle w:val="ListBullet"/>
      </w:pPr>
      <w:r>
        <w:rPr>
          <w:b/>
        </w:rPr>
        <w:t xml:space="preserve">Wirkungsökonomie in der Lieferkette: </w:t>
      </w:r>
      <w:r>
        <w:t>Natalie Weber</w:t>
      </w:r>
    </w:p>
    <w:p>
      <w:pPr>
        <w:pStyle w:val="ListBullet"/>
      </w:pPr>
      <w:r>
        <w:rPr>
          <w:b/>
        </w:rPr>
        <w:t xml:space="preserve">European Commission - Corporate sustainability reporting / CSRD: </w:t>
      </w:r>
      <w:hyperlink r:id="rId11">
        <w:r>
          <w:rPr>
            <w:color w:val="2B7D5C"/>
            <w:u w:val="single"/>
          </w:rPr>
          <w:t>https://finance.ec.europa.eu/financial-markets/company-reporting-and-auditing/company-reporting/corporate-sustainability-reporting_en</w:t>
        </w:r>
      </w:hyperlink>
    </w:p>
    <w:p>
      <w:pPr>
        <w:pStyle w:val="ListBullet"/>
      </w:pPr>
      <w:r>
        <w:rPr>
          <w:b/>
        </w:rPr>
        <w:t xml:space="preserve">European Commission - EU taxonomy for sustainable activities: </w:t>
      </w:r>
      <w:hyperlink r:id="rId12">
        <w:r>
          <w:rPr>
            <w:color w:val="2B7D5C"/>
            <w:u w:val="single"/>
          </w:rPr>
          <w:t>https://finance.ec.europa.eu/sustainable-finance/tools-and-standards/eu-taxonomy-sustainable-activities_en</w:t>
        </w:r>
      </w:hyperlink>
    </w:p>
    <w:p>
      <w:pPr>
        <w:pStyle w:val="ListBullet"/>
      </w:pPr>
      <w:r>
        <w:rPr>
          <w:b/>
        </w:rPr>
        <w:t xml:space="preserve">EUR-Lex - Directive (EU) 2024/1760 on corporate sustainability due diligence: </w:t>
      </w:r>
      <w:hyperlink r:id="rId13">
        <w:r>
          <w:rPr>
            <w:color w:val="2B7D5C"/>
            <w:u w:val="single"/>
          </w:rPr>
          <w:t>https://eur-lex.europa.eu/eli/dir/2024/1760/oj</w:t>
        </w:r>
      </w:hyperlink>
    </w:p>
    <w:p>
      <w:pPr>
        <w:pStyle w:val="ListBullet"/>
      </w:pPr>
      <w:r>
        <w:rPr>
          <w:b/>
        </w:rPr>
        <w:t xml:space="preserve">European Banking Authority - Guidelines on the management of ESG risks: </w:t>
      </w:r>
      <w:hyperlink r:id="rId14">
        <w:r>
          <w:rPr>
            <w:color w:val="2B7D5C"/>
            <w:u w:val="single"/>
          </w:rPr>
          <w:t>https://www.eba.europa.eu/activities/single-rulebook/regulatory-activities/sustainable-finance/guidelines-management-esg-risks</w:t>
        </w:r>
      </w:hyperlink>
    </w:p>
    <w:p>
      <w:pPr>
        <w:pStyle w:val="ListBullet"/>
      </w:pPr>
      <w:r>
        <w:rPr>
          <w:b/>
        </w:rPr>
        <w:t xml:space="preserve">EIOPA - Sustainable finance: </w:t>
      </w:r>
      <w:hyperlink r:id="rId15">
        <w:r>
          <w:rPr>
            <w:color w:val="2B7D5C"/>
            <w:u w:val="single"/>
          </w:rPr>
          <w:t>https://www.eiopa.europa.eu/browse/sustainable-finance_en</w:t>
        </w:r>
      </w:hyperlink>
    </w:p>
    <w:p>
      <w:r>
        <w:br w:type="page"/>
      </w:r>
    </w:p>
    <w:p>
      <w:pPr>
        <w:pStyle w:val="Heading1"/>
      </w:pPr>
      <w:r>
        <w:t>Ergänzende Praxis- und Implementierungsbausteine</w:t>
      </w:r>
    </w:p>
    <w:p>
      <w:r>
        <w:t>Die folgenden Abschnitte vertiefen das Detailkonzept um Reifegrad, Umsetzungslogik, Praxisprüfung und Dossier-Anschluss. Sie sind Bestandteil des öffentlichen Detailkonzepts und keine interne Umsetzungsanweisung.</w:t>
      </w:r>
    </w:p>
    <w:p>
      <w:pPr>
        <w:pStyle w:val="Heading1"/>
      </w:pPr>
      <w:r>
        <w:t>Entscheidungsarchitektur: Wie Führung Wirkung in den Alltag bringt</w:t>
      </w:r>
    </w:p>
    <w:p>
      <w:r>
        <w:t>Wirkungsorientierte Führung entscheidet nicht nur einmal im Jahr über Strategie. Sie verändert die alltägliche Architektur von Entscheidungen. Jede relevante Entscheidung kann nach vier Fragen strukturiert werden: Welche Zustände verändern wir? Wer empfängt die Wirkung? Welche roten Linien dürfen nicht verletzt werden? Welche Rückkopplung zeigt uns später, ob wir richtig lagen?</w:t>
      </w:r>
    </w:p>
    <w:p>
      <w:r>
        <w:t>Diese Fragen gehören in Vorstandsvorlagen, Projektsteckbriefe, Produktfreigaben, Personalentscheidungen, Einkaufsentscheidungen, Marketingkampagnen und KI-Freigaben. Dadurch entsteht keine zusätzliche Moralebene, sondern ein besserer Entscheidungsprozess. Entscheidungen werden nicht langsamer, sondern klarer: Welche Wirkung ist beabsichtigt, welche Nebenwirkung möglich, welche Daten fehlen, welcher Schutz ist nötig?</w:t>
      </w:r>
    </w:p>
    <w:tbl>
      <w:tblPr>
        <w:tblStyle w:val="TableGrid"/>
        <w:tblW w:type="auto" w:w="0"/>
        <w:jc w:val="center"/>
        <w:tblLook w:firstColumn="1" w:firstRow="1" w:lastColumn="0" w:lastRow="0" w:noHBand="0" w:noVBand="1" w:val="04A0"/>
      </w:tblPr>
      <w:tblGrid>
        <w:gridCol w:w="3400"/>
        <w:gridCol w:w="3400"/>
        <w:gridCol w:w="3400"/>
      </w:tblGrid>
      <w:tr>
        <w:tc>
          <w:tcPr>
            <w:tcW w:type="dxa" w:w="3400"/>
            <w:shd w:fill="0B1020"/>
          </w:tcPr>
          <w:p>
            <w:pPr>
              <w:spacing w:after="0"/>
            </w:pPr>
            <w:r>
              <w:rPr>
                <w:b/>
                <w:color w:val="FFFFFF"/>
                <w:sz w:val="16"/>
              </w:rPr>
              <w:t>Entscheidungssituation</w:t>
            </w:r>
          </w:p>
        </w:tc>
        <w:tc>
          <w:tcPr>
            <w:tcW w:type="dxa" w:w="3400"/>
            <w:shd w:fill="0B1020"/>
          </w:tcPr>
          <w:p>
            <w:pPr>
              <w:spacing w:after="0"/>
            </w:pPr>
            <w:r>
              <w:rPr>
                <w:b/>
                <w:color w:val="FFFFFF"/>
                <w:sz w:val="16"/>
              </w:rPr>
              <w:t>WÖk-Frage</w:t>
            </w:r>
          </w:p>
        </w:tc>
        <w:tc>
          <w:tcPr>
            <w:tcW w:type="dxa" w:w="3400"/>
            <w:shd w:fill="0B1020"/>
          </w:tcPr>
          <w:p>
            <w:pPr>
              <w:spacing w:after="0"/>
            </w:pPr>
            <w:r>
              <w:rPr>
                <w:b/>
                <w:color w:val="FFFFFF"/>
                <w:sz w:val="16"/>
              </w:rPr>
              <w:t>Praktischer Nachweis</w:t>
            </w:r>
          </w:p>
        </w:tc>
      </w:tr>
      <w:tr>
        <w:tc>
          <w:tcPr>
            <w:tcW w:type="dxa" w:w="3400"/>
            <w:shd w:fill="FFFFFF"/>
          </w:tcPr>
          <w:p>
            <w:pPr>
              <w:spacing w:after="0"/>
            </w:pPr>
            <w:r>
              <w:rPr>
                <w:b w:val="0"/>
                <w:color w:val="2B2D2E"/>
                <w:sz w:val="16"/>
              </w:rPr>
              <w:t>Investition</w:t>
            </w:r>
          </w:p>
        </w:tc>
        <w:tc>
          <w:tcPr>
            <w:tcW w:type="dxa" w:w="3400"/>
            <w:shd w:fill="FFFFFF"/>
          </w:tcPr>
          <w:p>
            <w:pPr>
              <w:spacing w:after="0"/>
            </w:pPr>
            <w:r>
              <w:rPr>
                <w:b w:val="0"/>
                <w:color w:val="2B2D2E"/>
                <w:sz w:val="16"/>
              </w:rPr>
              <w:t>Welche Wirkung erzeugt das Kapital langfristig?</w:t>
            </w:r>
          </w:p>
        </w:tc>
        <w:tc>
          <w:tcPr>
            <w:tcW w:type="dxa" w:w="3400"/>
            <w:shd w:fill="FFFFFF"/>
          </w:tcPr>
          <w:p>
            <w:pPr>
              <w:spacing w:after="0"/>
            </w:pPr>
            <w:r>
              <w:rPr>
                <w:b w:val="0"/>
                <w:color w:val="2B2D2E"/>
                <w:sz w:val="16"/>
              </w:rPr>
              <w:t>T-SROI, Risiko- und Resilienzprüfung</w:t>
            </w:r>
          </w:p>
        </w:tc>
      </w:tr>
      <w:tr>
        <w:tc>
          <w:tcPr>
            <w:tcW w:type="dxa" w:w="3400"/>
            <w:shd w:fill="F6F1E8"/>
          </w:tcPr>
          <w:p>
            <w:pPr>
              <w:spacing w:after="0"/>
            </w:pPr>
            <w:r>
              <w:rPr>
                <w:b w:val="0"/>
                <w:color w:val="2B2D2E"/>
                <w:sz w:val="16"/>
              </w:rPr>
              <w:t>Produktfreigabe</w:t>
            </w:r>
          </w:p>
        </w:tc>
        <w:tc>
          <w:tcPr>
            <w:tcW w:type="dxa" w:w="3400"/>
            <w:shd w:fill="F6F1E8"/>
          </w:tcPr>
          <w:p>
            <w:pPr>
              <w:spacing w:after="0"/>
            </w:pPr>
            <w:r>
              <w:rPr>
                <w:b w:val="0"/>
                <w:color w:val="2B2D2E"/>
                <w:sz w:val="16"/>
              </w:rPr>
              <w:t>Welche Lebenszykluswirkung entsteht?</w:t>
            </w:r>
          </w:p>
        </w:tc>
        <w:tc>
          <w:tcPr>
            <w:tcW w:type="dxa" w:w="3400"/>
            <w:shd w:fill="F6F1E8"/>
          </w:tcPr>
          <w:p>
            <w:pPr>
              <w:spacing w:after="0"/>
            </w:pPr>
            <w:r>
              <w:rPr>
                <w:b w:val="0"/>
                <w:color w:val="2B2D2E"/>
                <w:sz w:val="16"/>
              </w:rPr>
              <w:t>Produktscorecard, DPP, rote Linien</w:t>
            </w:r>
          </w:p>
        </w:tc>
      </w:tr>
      <w:tr>
        <w:tc>
          <w:tcPr>
            <w:tcW w:type="dxa" w:w="3400"/>
            <w:shd w:fill="FFFFFF"/>
          </w:tcPr>
          <w:p>
            <w:pPr>
              <w:spacing w:after="0"/>
            </w:pPr>
            <w:r>
              <w:rPr>
                <w:b w:val="0"/>
                <w:color w:val="2B2D2E"/>
                <w:sz w:val="16"/>
              </w:rPr>
              <w:t>Einkauf</w:t>
            </w:r>
          </w:p>
        </w:tc>
        <w:tc>
          <w:tcPr>
            <w:tcW w:type="dxa" w:w="3400"/>
            <w:shd w:fill="FFFFFF"/>
          </w:tcPr>
          <w:p>
            <w:pPr>
              <w:spacing w:after="0"/>
            </w:pPr>
            <w:r>
              <w:rPr>
                <w:b w:val="0"/>
                <w:color w:val="2B2D2E"/>
                <w:sz w:val="16"/>
              </w:rPr>
              <w:t>Welche Lieferkettenwirkung wird eingekauft?</w:t>
            </w:r>
          </w:p>
        </w:tc>
        <w:tc>
          <w:tcPr>
            <w:tcW w:type="dxa" w:w="3400"/>
            <w:shd w:fill="FFFFFF"/>
          </w:tcPr>
          <w:p>
            <w:pPr>
              <w:spacing w:after="0"/>
            </w:pPr>
            <w:r>
              <w:rPr>
                <w:b w:val="0"/>
                <w:color w:val="2B2D2E"/>
                <w:sz w:val="16"/>
              </w:rPr>
              <w:t>Lieferanten-Score, CSDDD-/WÖk-ID-Mapping</w:t>
            </w:r>
          </w:p>
        </w:tc>
      </w:tr>
      <w:tr>
        <w:tc>
          <w:tcPr>
            <w:tcW w:type="dxa" w:w="3400"/>
            <w:shd w:fill="F6F1E8"/>
          </w:tcPr>
          <w:p>
            <w:pPr>
              <w:spacing w:after="0"/>
            </w:pPr>
            <w:r>
              <w:rPr>
                <w:b w:val="0"/>
                <w:color w:val="2B2D2E"/>
                <w:sz w:val="16"/>
              </w:rPr>
              <w:t>Personalentscheidung</w:t>
            </w:r>
          </w:p>
        </w:tc>
        <w:tc>
          <w:tcPr>
            <w:tcW w:type="dxa" w:w="3400"/>
            <w:shd w:fill="F6F1E8"/>
          </w:tcPr>
          <w:p>
            <w:pPr>
              <w:spacing w:after="0"/>
            </w:pPr>
            <w:r>
              <w:rPr>
                <w:b w:val="0"/>
                <w:color w:val="2B2D2E"/>
                <w:sz w:val="16"/>
              </w:rPr>
              <w:t>Welche Arbeits- und Lernräume entstehen?</w:t>
            </w:r>
          </w:p>
        </w:tc>
        <w:tc>
          <w:tcPr>
            <w:tcW w:type="dxa" w:w="3400"/>
            <w:shd w:fill="F6F1E8"/>
          </w:tcPr>
          <w:p>
            <w:pPr>
              <w:spacing w:after="0"/>
            </w:pPr>
            <w:r>
              <w:rPr>
                <w:b w:val="0"/>
                <w:color w:val="2B2D2E"/>
                <w:sz w:val="16"/>
              </w:rPr>
              <w:t>Rollenklärung, faire Entwicklung, Schutzrechte</w:t>
            </w:r>
          </w:p>
        </w:tc>
      </w:tr>
      <w:tr>
        <w:tc>
          <w:tcPr>
            <w:tcW w:type="dxa" w:w="3400"/>
            <w:shd w:fill="FFFFFF"/>
          </w:tcPr>
          <w:p>
            <w:pPr>
              <w:spacing w:after="0"/>
            </w:pPr>
            <w:r>
              <w:rPr>
                <w:b w:val="0"/>
                <w:color w:val="2B2D2E"/>
                <w:sz w:val="16"/>
              </w:rPr>
              <w:t>Kommunikation</w:t>
            </w:r>
          </w:p>
        </w:tc>
        <w:tc>
          <w:tcPr>
            <w:tcW w:type="dxa" w:w="3400"/>
            <w:shd w:fill="FFFFFF"/>
          </w:tcPr>
          <w:p>
            <w:pPr>
              <w:spacing w:after="0"/>
            </w:pPr>
            <w:r>
              <w:rPr>
                <w:b w:val="0"/>
                <w:color w:val="2B2D2E"/>
                <w:sz w:val="16"/>
              </w:rPr>
              <w:t>Welche Resonanzräume entstehen?</w:t>
            </w:r>
          </w:p>
        </w:tc>
        <w:tc>
          <w:tcPr>
            <w:tcW w:type="dxa" w:w="3400"/>
            <w:shd w:fill="FFFFFF"/>
          </w:tcPr>
          <w:p>
            <w:pPr>
              <w:spacing w:after="0"/>
            </w:pPr>
            <w:r>
              <w:rPr>
                <w:b w:val="0"/>
                <w:color w:val="2B2D2E"/>
                <w:sz w:val="16"/>
              </w:rPr>
              <w:t>Responsible-Marketing-Check, Quellenklarheit</w:t>
            </w:r>
          </w:p>
        </w:tc>
      </w:tr>
      <w:tr>
        <w:tc>
          <w:tcPr>
            <w:tcW w:type="dxa" w:w="3400"/>
            <w:shd w:fill="F6F1E8"/>
          </w:tcPr>
          <w:p>
            <w:pPr>
              <w:spacing w:after="0"/>
            </w:pPr>
            <w:r>
              <w:rPr>
                <w:b w:val="0"/>
                <w:color w:val="2B2D2E"/>
                <w:sz w:val="16"/>
              </w:rPr>
              <w:t>KI-Einsatz</w:t>
            </w:r>
          </w:p>
        </w:tc>
        <w:tc>
          <w:tcPr>
            <w:tcW w:type="dxa" w:w="3400"/>
            <w:shd w:fill="F6F1E8"/>
          </w:tcPr>
          <w:p>
            <w:pPr>
              <w:spacing w:after="0"/>
            </w:pPr>
            <w:r>
              <w:rPr>
                <w:b w:val="0"/>
                <w:color w:val="2B2D2E"/>
                <w:sz w:val="16"/>
              </w:rPr>
              <w:t>Welche Entscheidungen werden verstärkt oder verzerrt?</w:t>
            </w:r>
          </w:p>
        </w:tc>
        <w:tc>
          <w:tcPr>
            <w:tcW w:type="dxa" w:w="3400"/>
            <w:shd w:fill="F6F1E8"/>
          </w:tcPr>
          <w:p>
            <w:pPr>
              <w:spacing w:after="0"/>
            </w:pPr>
            <w:r>
              <w:rPr>
                <w:b w:val="0"/>
                <w:color w:val="2B2D2E"/>
                <w:sz w:val="16"/>
              </w:rPr>
              <w:t>KI-Wirkungsprüfung, Bias-/Transparenzcheck</w:t>
            </w:r>
          </w:p>
        </w:tc>
      </w:tr>
    </w:tbl>
    <w:p/>
    <w:p>
      <w:pPr>
        <w:pStyle w:val="Heading1"/>
      </w:pPr>
      <w:r>
        <w:t>Wirkungsorientierte Mitarbeitergespräche ohne Scoring</w:t>
      </w:r>
    </w:p>
    <w:p>
      <w:r>
        <w:t>Mitarbeitergespräche dürfen nicht zu Wirkungsrankings von Personen werden. Stattdessen können sie zu Gesprächen über Wirkungsräume werden. Die Kernfragen lauten: Was brauchst du, um wirksam arbeiten zu können? Welche Hindernisse erzeugen Blindleistung? Wo entstehen Überlastung, Doppelarbeit oder Zielkonflikte? Welche Wirkung deiner Arbeit ist sichtbar und welche bleibt unsichtbar?</w:t>
      </w:r>
    </w:p>
    <w:p>
      <w:r>
        <w:t>Damit verschiebt sich Mitarbeiterführung von Kontrolle zu Befähigung. Menschen werden nicht auf Kennzahlen reduziert, sondern als Träger:innen von Erfahrung, Beobachtung und Systemwissen ernst genommen. Gerade Beschäftigte sehen oft früher als Führungsebenen, wo Qualität, Sicherheit, Kundennutzen oder Lieferfähigkeit gefährdet sind.</w:t>
      </w:r>
    </w:p>
    <w:p>
      <w:r>
        <w:t>Ein wirkungsorientiertes Gespräch kann vier Elemente enthalten: Arbeitswirkung, Lernbedarf, Belastung und Systemhindernisse. Es soll dokumentieren, was das Unternehmen ändern muss, nicht nur was die Person leisten soll.</w:t>
      </w:r>
    </w:p>
    <w:p>
      <w:pPr>
        <w:pStyle w:val="Heading1"/>
      </w:pPr>
      <w:r>
        <w:t>Konfliktfähigkeit, Machtmissbrauch und Schutzmechanismen</w:t>
      </w:r>
    </w:p>
    <w:p>
      <w:r>
        <w:t>Führung wirkt auch durch Macht. Macht ist nicht automatisch negativ; sie ermöglicht Entscheidung, Priorisierung und Verantwortung. Sie wird aber destruktiv, wenn sie Widerspruch unterdrückt, Abhängigkeit ausnutzt, Daten kontrolliert, Risiken verschweigt oder Menschen beschämt. Wirkungsorientierte Führung braucht deshalb Konfliktfähigkeit und Schutzmechanismen.</w:t>
      </w:r>
    </w:p>
    <w:p>
      <w:r>
        <w:t>Dazu gehören Whistleblower-Schutz, transparente Beschwerdewege, Mitbestimmung, unabhängige Ansprechstellen, klare Eskalationslogiken, Schutz vor Retaliation, faire Untersuchung von Vorwürfen und eine Kultur, in der schlechte Nachrichten nicht sanktioniert werden. Ohne diese Schutzarchitektur werden Wirkungsdaten politisch: Niemand meldet Risiken, wenn Risiko-Meldung Karriere kostet.</w:t>
      </w:r>
    </w:p>
    <w:p>
      <w:pPr>
        <w:pStyle w:val="Heading1"/>
      </w:pPr>
      <w:r>
        <w:t>100-Tage-Plan für Führungsteams</w:t>
      </w:r>
    </w:p>
    <w:p>
      <w:r>
        <w:t>Ein Führungsteam kann mit einem 100-Tage-Plan beginnen. In den ersten 30 Tagen werden Zweck, rote Linien und wichtigste Wirkungspfade geklärt. In den nächsten 30 Tagen werden bestehende KPI auf Blindleistung geprüft und erste KII definiert. In den letzten 40 Tagen werden Entscheidungsformate angepasst: Vorstandsvorlagen, Projektsteckbriefe, Einkaufsfreigaben, Produktfreigaben, Team-Retrospektiven und Risikoreports.</w:t>
      </w:r>
    </w:p>
    <w:p>
      <w:r>
        <w:t>Der 100-Tage-Plan ersetzt keine vollständige Transformation, aber er verhindert, dass wirkungsorientierte Führung abstrakt bleibt. Er zeigt schnell, ob Führung bereit ist, Wirkung tatsächlich in Entscheidungen einzubauen.</w:t>
      </w:r>
    </w:p>
    <w:tbl>
      <w:tblPr>
        <w:tblStyle w:val="TableGrid"/>
        <w:tblW w:type="auto" w:w="0"/>
        <w:jc w:val="center"/>
        <w:tblLook w:firstColumn="1" w:firstRow="1" w:lastColumn="0" w:lastRow="0" w:noHBand="0" w:noVBand="1" w:val="04A0"/>
      </w:tblPr>
      <w:tblGrid>
        <w:gridCol w:w="3400"/>
        <w:gridCol w:w="3400"/>
        <w:gridCol w:w="3400"/>
      </w:tblGrid>
      <w:tr>
        <w:tc>
          <w:tcPr>
            <w:tcW w:type="dxa" w:w="3400"/>
            <w:shd w:fill="0B1020"/>
          </w:tcPr>
          <w:p>
            <w:pPr>
              <w:spacing w:after="0"/>
            </w:pPr>
            <w:r>
              <w:rPr>
                <w:b/>
                <w:color w:val="FFFFFF"/>
                <w:sz w:val="16"/>
              </w:rPr>
              <w:t>Phase</w:t>
            </w:r>
          </w:p>
        </w:tc>
        <w:tc>
          <w:tcPr>
            <w:tcW w:type="dxa" w:w="3400"/>
            <w:shd w:fill="0B1020"/>
          </w:tcPr>
          <w:p>
            <w:pPr>
              <w:spacing w:after="0"/>
            </w:pPr>
            <w:r>
              <w:rPr>
                <w:b/>
                <w:color w:val="FFFFFF"/>
                <w:sz w:val="16"/>
              </w:rPr>
              <w:t>Aufgabe</w:t>
            </w:r>
          </w:p>
        </w:tc>
        <w:tc>
          <w:tcPr>
            <w:tcW w:type="dxa" w:w="3400"/>
            <w:shd w:fill="0B1020"/>
          </w:tcPr>
          <w:p>
            <w:pPr>
              <w:spacing w:after="0"/>
            </w:pPr>
            <w:r>
              <w:rPr>
                <w:b/>
                <w:color w:val="FFFFFF"/>
                <w:sz w:val="16"/>
              </w:rPr>
              <w:t>Ergebnis</w:t>
            </w:r>
          </w:p>
        </w:tc>
      </w:tr>
      <w:tr>
        <w:tc>
          <w:tcPr>
            <w:tcW w:type="dxa" w:w="3400"/>
            <w:shd w:fill="FFFFFF"/>
          </w:tcPr>
          <w:p>
            <w:pPr>
              <w:spacing w:after="0"/>
            </w:pPr>
            <w:r>
              <w:rPr>
                <w:b w:val="0"/>
                <w:color w:val="2B2D2E"/>
                <w:sz w:val="16"/>
              </w:rPr>
              <w:t>Tag 1-30</w:t>
            </w:r>
          </w:p>
        </w:tc>
        <w:tc>
          <w:tcPr>
            <w:tcW w:type="dxa" w:w="3400"/>
            <w:shd w:fill="FFFFFF"/>
          </w:tcPr>
          <w:p>
            <w:pPr>
              <w:spacing w:after="0"/>
            </w:pPr>
            <w:r>
              <w:rPr>
                <w:b w:val="0"/>
                <w:color w:val="2B2D2E"/>
                <w:sz w:val="16"/>
              </w:rPr>
              <w:t>Zweck, rote Linien, Wirkungspfade, Führungsselbstbild klären</w:t>
            </w:r>
          </w:p>
        </w:tc>
        <w:tc>
          <w:tcPr>
            <w:tcW w:type="dxa" w:w="3400"/>
            <w:shd w:fill="FFFFFF"/>
          </w:tcPr>
          <w:p>
            <w:pPr>
              <w:spacing w:after="0"/>
            </w:pPr>
            <w:r>
              <w:rPr>
                <w:b w:val="0"/>
                <w:color w:val="2B2D2E"/>
                <w:sz w:val="16"/>
              </w:rPr>
              <w:t>gemeinsamer Wirkungskompass</w:t>
            </w:r>
          </w:p>
        </w:tc>
      </w:tr>
      <w:tr>
        <w:tc>
          <w:tcPr>
            <w:tcW w:type="dxa" w:w="3400"/>
            <w:shd w:fill="F6F1E8"/>
          </w:tcPr>
          <w:p>
            <w:pPr>
              <w:spacing w:after="0"/>
            </w:pPr>
            <w:r>
              <w:rPr>
                <w:b w:val="0"/>
                <w:color w:val="2B2D2E"/>
                <w:sz w:val="16"/>
              </w:rPr>
              <w:t>Tag 31-60</w:t>
            </w:r>
          </w:p>
        </w:tc>
        <w:tc>
          <w:tcPr>
            <w:tcW w:type="dxa" w:w="3400"/>
            <w:shd w:fill="F6F1E8"/>
          </w:tcPr>
          <w:p>
            <w:pPr>
              <w:spacing w:after="0"/>
            </w:pPr>
            <w:r>
              <w:rPr>
                <w:b w:val="0"/>
                <w:color w:val="2B2D2E"/>
                <w:sz w:val="16"/>
              </w:rPr>
              <w:t>KPI prüfen, KII definieren, Datenlücken identifizieren</w:t>
            </w:r>
          </w:p>
        </w:tc>
        <w:tc>
          <w:tcPr>
            <w:tcW w:type="dxa" w:w="3400"/>
            <w:shd w:fill="F6F1E8"/>
          </w:tcPr>
          <w:p>
            <w:pPr>
              <w:spacing w:after="0"/>
            </w:pPr>
            <w:r>
              <w:rPr>
                <w:b w:val="0"/>
                <w:color w:val="2B2D2E"/>
                <w:sz w:val="16"/>
              </w:rPr>
              <w:t>erste Wirkungskennzahlen und Blindleistungsanalyse</w:t>
            </w:r>
          </w:p>
        </w:tc>
      </w:tr>
      <w:tr>
        <w:tc>
          <w:tcPr>
            <w:tcW w:type="dxa" w:w="3400"/>
            <w:shd w:fill="FFFFFF"/>
          </w:tcPr>
          <w:p>
            <w:pPr>
              <w:spacing w:after="0"/>
            </w:pPr>
            <w:r>
              <w:rPr>
                <w:b w:val="0"/>
                <w:color w:val="2B2D2E"/>
                <w:sz w:val="16"/>
              </w:rPr>
              <w:t>Tag 61-80</w:t>
            </w:r>
          </w:p>
        </w:tc>
        <w:tc>
          <w:tcPr>
            <w:tcW w:type="dxa" w:w="3400"/>
            <w:shd w:fill="FFFFFF"/>
          </w:tcPr>
          <w:p>
            <w:pPr>
              <w:spacing w:after="0"/>
            </w:pPr>
            <w:r>
              <w:rPr>
                <w:b w:val="0"/>
                <w:color w:val="2B2D2E"/>
                <w:sz w:val="16"/>
              </w:rPr>
              <w:t>Entscheidungsvorlagen und Meetingformate anpassen</w:t>
            </w:r>
          </w:p>
        </w:tc>
        <w:tc>
          <w:tcPr>
            <w:tcW w:type="dxa" w:w="3400"/>
            <w:shd w:fill="FFFFFF"/>
          </w:tcPr>
          <w:p>
            <w:pPr>
              <w:spacing w:after="0"/>
            </w:pPr>
            <w:r>
              <w:rPr>
                <w:b w:val="0"/>
                <w:color w:val="2B2D2E"/>
                <w:sz w:val="16"/>
              </w:rPr>
              <w:t>Wirkungsfragen in Führungsroutine</w:t>
            </w:r>
          </w:p>
        </w:tc>
      </w:tr>
      <w:tr>
        <w:tc>
          <w:tcPr>
            <w:tcW w:type="dxa" w:w="3400"/>
            <w:shd w:fill="F6F1E8"/>
          </w:tcPr>
          <w:p>
            <w:pPr>
              <w:spacing w:after="0"/>
            </w:pPr>
            <w:r>
              <w:rPr>
                <w:b w:val="0"/>
                <w:color w:val="2B2D2E"/>
                <w:sz w:val="16"/>
              </w:rPr>
              <w:t>Tag 81-100</w:t>
            </w:r>
          </w:p>
        </w:tc>
        <w:tc>
          <w:tcPr>
            <w:tcW w:type="dxa" w:w="3400"/>
            <w:shd w:fill="F6F1E8"/>
          </w:tcPr>
          <w:p>
            <w:pPr>
              <w:spacing w:after="0"/>
            </w:pPr>
            <w:r>
              <w:rPr>
                <w:b w:val="0"/>
                <w:color w:val="2B2D2E"/>
                <w:sz w:val="16"/>
              </w:rPr>
              <w:t>Pilotbereich auswählen und Rückkopplung starten</w:t>
            </w:r>
          </w:p>
        </w:tc>
        <w:tc>
          <w:tcPr>
            <w:tcW w:type="dxa" w:w="3400"/>
            <w:shd w:fill="F6F1E8"/>
          </w:tcPr>
          <w:p>
            <w:pPr>
              <w:spacing w:after="0"/>
            </w:pPr>
            <w:r>
              <w:rPr>
                <w:b w:val="0"/>
                <w:color w:val="2B2D2E"/>
                <w:sz w:val="16"/>
              </w:rPr>
              <w:t>praktischer Nachweis der neuen Führungslogik</w:t>
            </w:r>
          </w:p>
        </w:tc>
      </w:tr>
    </w:tbl>
    <w:p/>
    <w:p>
      <w:pPr>
        <w:pStyle w:val="Heading1"/>
      </w:pPr>
      <w:r>
        <w:t>Dossier-Bausteine und Vorlagen</w:t>
      </w:r>
    </w:p>
    <w:p>
      <w:r>
        <w:t>Das spätere Dossier zu diesem Detailkonzept sollte konkrete Vorlagen enthalten: Wirkungsorientierte Vorstandsvorlage, Team-Wirkungscheck, Mitarbeitergesprächsleitfaden ohne Scoring, KII-Dashboard, Vergütungslogik-Check, psychische Sicherheitsprüfung, Entscheidungslogbuch und Schulungsmodul Wirkungskompetenz.</w:t>
      </w:r>
    </w:p>
    <w:p>
      <w:r>
        <w:t>Die Website sollte diese Vorlagen nicht nur als PDF-Teaser erwähnen. Sie müssen online lesbar sein, als Download bereitstehen und in den Toolbereich eingebunden werden. So wird aus dem Konzept eine handlungsfähige Arbeitsbibliothek.</w:t>
      </w:r>
    </w:p>
    <w:sectPr w:rsidR="00FC693F" w:rsidRPr="0006063C" w:rsidSect="00034616">
      <w:headerReference w:type="default" r:id="rId9"/>
      <w:footerReference w:type="default" r:id="rId10"/>
      <w:pgSz w:w="12240" w:h="15840"/>
      <w:pgMar w:top="964"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2B2D2E"/>
        <w:sz w:val="16"/>
      </w:rPr>
      <w:t>© Natalie Weber · Wirkungsökonomie · Öffentliche Arbeitsfassung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b/>
        <w:color w:val="2B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2" w:lineRule="auto"/>
    </w:pPr>
    <w:rPr>
      <w:rFonts w:ascii="Arial" w:hAnsi="Arial" w:eastAsia="Arial"/>
      <w:color w:val="2B2D2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Georgia" w:hAnsi="Georgia" w:eastAsia="Georgia"/>
      <w:b/>
      <w:bCs/>
      <w:color w:val="0B1020"/>
      <w:sz w:val="40"/>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Georgia" w:hAnsi="Georgia" w:eastAsia="Georgia"/>
      <w:b/>
      <w:bCs/>
      <w:color w:val="0B1020"/>
      <w:sz w:val="30"/>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Georgia" w:hAnsi="Georgia" w:eastAsia="Georgia"/>
      <w:b/>
      <w:bCs/>
      <w:color w:val="0B102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ÖkQuote">
    <w:name w:val="WÖk Quote"/>
    <w:pPr>
      <w:spacing w:before="160" w:after="200"/>
      <w:ind w:left="340" w:right="340"/>
    </w:pPr>
    <w:rPr>
      <w:rFonts w:ascii="Georgia" w:hAnsi="Georgia" w:eastAsia="Georgia"/>
      <w:i/>
      <w:color w:val="2B7D5C"/>
      <w:sz w:val="26"/>
    </w:rPr>
  </w:style>
  <w:style w:type="paragraph" w:customStyle="1" w:styleId="WÖkLabel">
    <w:name w:val="WÖk Label"/>
    <w:pPr>
      <w:spacing w:after="40"/>
    </w:pPr>
    <w:rPr>
      <w:rFonts w:ascii="Arial" w:hAnsi="Arial" w:eastAsia="Arial"/>
      <w:b/>
      <w:color w:val="2B7D5C"/>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finance.ec.europa.eu/financial-markets/company-reporting-and-auditing/company-reporting/corporate-sustainability-reporting_en" TargetMode="External"/><Relationship Id="rId12" Type="http://schemas.openxmlformats.org/officeDocument/2006/relationships/hyperlink" Target="https://finance.ec.europa.eu/sustainable-finance/tools-and-standards/eu-taxonomy-sustainable-activities_en" TargetMode="External"/><Relationship Id="rId13" Type="http://schemas.openxmlformats.org/officeDocument/2006/relationships/hyperlink" Target="https://eur-lex.europa.eu/eli/dir/2024/1760/oj" TargetMode="External"/><Relationship Id="rId14" Type="http://schemas.openxmlformats.org/officeDocument/2006/relationships/hyperlink" Target="https://www.eba.europa.eu/activities/single-rulebook/regulatory-activities/sustainable-finance/guidelines-management-esg-risks" TargetMode="External"/><Relationship Id="rId15" Type="http://schemas.openxmlformats.org/officeDocument/2006/relationships/hyperlink" Target="https://www.eiopa.europa.eu/browse/sustainable-finan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Wirkungsorientierte Unternehmensführung inkl. Mitarbeiterführung</dc:title>
  <dc:subject/>
  <dc:creator>Natalie Weber</dc:creator>
  <cp:keywords/>
  <dc:description>generated by python-docx</dc:description>
  <cp:lastModifiedBy/>
  <cp:revision>1</cp:revision>
  <dcterms:created xsi:type="dcterms:W3CDTF">2013-12-23T23:15:00Z</dcterms:created>
  <dcterms:modified xsi:type="dcterms:W3CDTF">2013-12-23T23:15:00Z</dcterms:modified>
  <cp:category/>
</cp:coreProperties>
</file>