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Georgia" w:hAnsi="Georgia"/>
          <w:b/>
          <w:color w:val="2A7D5C"/>
          <w:sz w:val="30"/>
        </w:rPr>
        <w:t>Wirkungsökonomie</w:t>
      </w:r>
    </w:p>
    <w:p>
      <w:pPr>
        <w:jc w:val="left"/>
      </w:pPr>
      <w:r>
        <w:rPr>
          <w:rFonts w:ascii="Arial" w:hAnsi="Arial"/>
          <w:b/>
          <w:color w:val="C6983C"/>
          <w:sz w:val="18"/>
        </w:rPr>
        <w:t>DETAILKONZEPT</w:t>
      </w:r>
    </w:p>
    <w:p>
      <w:pPr>
        <w:pStyle w:val="Title"/>
      </w:pPr>
      <w:r>
        <w:t>Resiliente Wertschöpfungsketten und Einkauf nach Wirkung</w:t>
      </w:r>
    </w:p>
    <w:p>
      <w:r>
        <w:rPr>
          <w:rFonts w:ascii="Georgia" w:hAnsi="Georgia"/>
          <w:color w:val="081020"/>
          <w:sz w:val="26"/>
        </w:rPr>
        <w:t>Beschaffung als Wirkungshebel: Lieferanten, Daten, Vorsteuerlogik, Menschenrechte, Ressourcen und Resilienz</w:t>
      </w:r>
    </w:p>
    <w:p/>
    <w:p>
      <w:pPr>
        <w:jc w:val="left"/>
      </w:pPr>
      <w:r>
        <w:rPr>
          <w:i/>
          <w:color w:val="2A7D5C"/>
          <w:sz w:val="24"/>
        </w:rPr>
        <w:t>„Wer Wirkung einkauft, baut Zukunftsfähigkeit in das Unternehmen ein.“</w:t>
      </w:r>
    </w:p>
    <w:p/>
    <w:tbl>
      <w:tblPr>
        <w:tblStyle w:val="TableGrid"/>
        <w:tblW w:type="auto" w:w="0"/>
        <w:jc w:val="center"/>
        <w:tblLook w:firstColumn="1" w:firstRow="1" w:lastColumn="0" w:lastRow="0" w:noHBand="0" w:noVBand="1" w:val="04A0"/>
      </w:tblPr>
      <w:tblGrid>
        <w:gridCol w:w="4997"/>
        <w:gridCol w:w="4997"/>
      </w:tblGrid>
      <w:tr>
        <w:trPr>
          <w:tblHeader w:val="true"/>
        </w:trPr>
        <w:tc>
          <w:tcPr>
            <w:tcW w:type="dxa" w:w="2592"/>
            <w:shd w:fill="EDE6D9"/>
            <w:vAlign w:val="center"/>
            <w:tcBorders>
              <w:top w:val="single" w:sz="4" w:color="D8D0C4"/>
              <w:left w:val="single" w:sz="4" w:color="D8D0C4"/>
              <w:bottom w:val="single" w:sz="4" w:color="D8D0C4"/>
              <w:right w:val="single" w:sz="4" w:color="D8D0C4"/>
            </w:tcBorders>
          </w:tcPr>
          <w:p>
            <w:r>
              <w:rPr>
                <w:b/>
                <w:color w:val="081020"/>
                <w:sz w:val="17"/>
              </w:rPr>
              <w:t>Metadatum</w:t>
            </w:r>
          </w:p>
        </w:tc>
        <w:tc>
          <w:tcPr>
            <w:tcW w:type="dxa" w:w="6912"/>
            <w:shd w:fill="EDE6D9"/>
            <w:vAlign w:val="center"/>
            <w:tcBorders>
              <w:top w:val="single" w:sz="4" w:color="D8D0C4"/>
              <w:left w:val="single" w:sz="4" w:color="D8D0C4"/>
              <w:bottom w:val="single" w:sz="4" w:color="D8D0C4"/>
              <w:right w:val="single" w:sz="4" w:color="D8D0C4"/>
            </w:tcBorders>
          </w:tcPr>
          <w:p>
            <w:r>
              <w:rPr>
                <w:b/>
                <w:color w:val="081020"/>
                <w:sz w:val="17"/>
              </w:rPr>
              <w:t>Angabe</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Autorin</w:t>
            </w:r>
          </w:p>
        </w:tc>
        <w:tc>
          <w:tcPr>
            <w:tcW w:type="dxa" w:w="6912"/>
            <w:vAlign w:val="top"/>
            <w:tcBorders>
              <w:top w:val="single" w:sz="4" w:color="D8D0C4"/>
              <w:left w:val="single" w:sz="4" w:color="D8D0C4"/>
              <w:bottom w:val="single" w:sz="4" w:color="D8D0C4"/>
              <w:right w:val="single" w:sz="4" w:color="D8D0C4"/>
            </w:tcBorders>
          </w:tcPr>
          <w:p>
            <w:r>
              <w:rPr>
                <w:color w:val="1E1E1E"/>
                <w:sz w:val="16"/>
              </w:rPr>
              <w:t>Natalie Weber</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Referenz</w:t>
            </w:r>
          </w:p>
        </w:tc>
        <w:tc>
          <w:tcPr>
            <w:tcW w:type="dxa" w:w="6912"/>
            <w:vAlign w:val="top"/>
            <w:tcBorders>
              <w:top w:val="single" w:sz="4" w:color="D8D0C4"/>
              <w:left w:val="single" w:sz="4" w:color="D8D0C4"/>
              <w:bottom w:val="single" w:sz="4" w:color="D8D0C4"/>
              <w:right w:val="single" w:sz="4" w:color="D8D0C4"/>
            </w:tcBorders>
          </w:tcPr>
          <w:p>
            <w:r>
              <w:rPr>
                <w:color w:val="1E1E1E"/>
                <w:sz w:val="16"/>
              </w:rPr>
              <w:t>Wirkungsökonomie</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Portal</w:t>
            </w:r>
          </w:p>
        </w:tc>
        <w:tc>
          <w:tcPr>
            <w:tcW w:type="dxa" w:w="6912"/>
            <w:vAlign w:val="top"/>
            <w:tcBorders>
              <w:top w:val="single" w:sz="4" w:color="D8D0C4"/>
              <w:left w:val="single" w:sz="4" w:color="D8D0C4"/>
              <w:bottom w:val="single" w:sz="4" w:color="D8D0C4"/>
              <w:right w:val="single" w:sz="4" w:color="D8D0C4"/>
            </w:tcBorders>
          </w:tcPr>
          <w:p>
            <w:r>
              <w:rPr>
                <w:color w:val="1E1E1E"/>
                <w:sz w:val="16"/>
              </w:rPr>
              <w:t>Wirtschaft &amp; Unternehmen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Version</w:t>
            </w:r>
          </w:p>
        </w:tc>
        <w:tc>
          <w:tcPr>
            <w:tcW w:type="dxa" w:w="6912"/>
            <w:vAlign w:val="top"/>
            <w:tcBorders>
              <w:top w:val="single" w:sz="4" w:color="D8D0C4"/>
              <w:left w:val="single" w:sz="4" w:color="D8D0C4"/>
              <w:bottom w:val="single" w:sz="4" w:color="D8D0C4"/>
              <w:right w:val="single" w:sz="4" w:color="D8D0C4"/>
            </w:tcBorders>
          </w:tcPr>
          <w:p>
            <w:r>
              <w:rPr>
                <w:color w:val="1E1E1E"/>
                <w:sz w:val="16"/>
              </w:rPr>
              <w:t>v1.0</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Status</w:t>
            </w:r>
          </w:p>
        </w:tc>
        <w:tc>
          <w:tcPr>
            <w:tcW w:type="dxa" w:w="6912"/>
            <w:vAlign w:val="top"/>
            <w:tcBorders>
              <w:top w:val="single" w:sz="4" w:color="D8D0C4"/>
              <w:left w:val="single" w:sz="4" w:color="D8D0C4"/>
              <w:bottom w:val="single" w:sz="4" w:color="D8D0C4"/>
              <w:right w:val="single" w:sz="4" w:color="D8D0C4"/>
            </w:tcBorders>
          </w:tcPr>
          <w:p>
            <w:r>
              <w:rPr>
                <w:color w:val="1E1E1E"/>
                <w:sz w:val="16"/>
              </w:rPr>
              <w:t>öffentliche Ausarbeitung / Detailkonzept</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Stand</w:t>
            </w:r>
          </w:p>
        </w:tc>
        <w:tc>
          <w:tcPr>
            <w:tcW w:type="dxa" w:w="6912"/>
            <w:vAlign w:val="top"/>
            <w:tcBorders>
              <w:top w:val="single" w:sz="4" w:color="D8D0C4"/>
              <w:left w:val="single" w:sz="4" w:color="D8D0C4"/>
              <w:bottom w:val="single" w:sz="4" w:color="D8D0C4"/>
              <w:right w:val="single" w:sz="4" w:color="D8D0C4"/>
            </w:tcBorders>
          </w:tcPr>
          <w:p>
            <w:r>
              <w:rPr>
                <w:color w:val="1E1E1E"/>
                <w:sz w:val="16"/>
              </w:rPr>
              <w:t>24. Mai 2026</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Hinweis</w:t>
            </w:r>
          </w:p>
        </w:tc>
        <w:tc>
          <w:tcPr>
            <w:tcW w:type="dxa" w:w="6912"/>
            <w:vAlign w:val="top"/>
            <w:tcBorders>
              <w:top w:val="single" w:sz="4" w:color="D8D0C4"/>
              <w:left w:val="single" w:sz="4" w:color="D8D0C4"/>
              <w:bottom w:val="single" w:sz="4" w:color="D8D0C4"/>
              <w:right w:val="single" w:sz="4" w:color="D8D0C4"/>
            </w:tcBorders>
          </w:tcPr>
          <w:p>
            <w:r>
              <w:rPr>
                <w:color w:val="1E1E1E"/>
                <w:sz w:val="16"/>
              </w:rPr>
              <w:t>Konzeptionelle Arbeitsfassung; keine Rechts-, Steuer-, Anlage- oder Unternehmensberatung.</w:t>
            </w:r>
          </w:p>
        </w:tc>
      </w:tr>
    </w:tbl>
    <w:p>
      <w:r>
        <w:br w:type="page"/>
      </w:r>
    </w:p>
    <w:p>
      <w:pPr>
        <w:pStyle w:val="Heading1"/>
        <w:spacing w:before="200" w:after="80"/>
      </w:pPr>
      <w:r>
        <w:rPr>
          <w:rFonts w:ascii="Georgia" w:hAnsi="Georgia"/>
          <w:b/>
          <w:color w:val="081020"/>
        </w:rPr>
        <w:t>Kurzprofil</w:t>
      </w:r>
    </w:p>
    <w:tbl>
      <w:tblPr>
        <w:tblStyle w:val="TableGrid"/>
        <w:tblW w:type="auto" w:w="0"/>
        <w:jc w:val="center"/>
        <w:tblLook w:firstColumn="1" w:firstRow="1" w:lastColumn="0" w:lastRow="0" w:noHBand="0" w:noVBand="1" w:val="04A0"/>
      </w:tblPr>
      <w:tblGrid>
        <w:gridCol w:w="4997"/>
        <w:gridCol w:w="4997"/>
      </w:tblGrid>
      <w:tr>
        <w:trPr>
          <w:tblHeader w:val="true"/>
        </w:trPr>
        <w:tc>
          <w:tcPr>
            <w:tcW w:type="dxa" w:w="2592"/>
            <w:shd w:fill="EDE6D9"/>
            <w:vAlign w:val="center"/>
            <w:tcBorders>
              <w:top w:val="single" w:sz="4" w:color="D8D0C4"/>
              <w:left w:val="single" w:sz="4" w:color="D8D0C4"/>
              <w:bottom w:val="single" w:sz="4" w:color="D8D0C4"/>
              <w:right w:val="single" w:sz="4" w:color="D8D0C4"/>
            </w:tcBorders>
          </w:tcPr>
          <w:p>
            <w:r>
              <w:rPr>
                <w:b/>
                <w:color w:val="081020"/>
                <w:sz w:val="17"/>
              </w:rPr>
              <w:t>Metadatum</w:t>
            </w:r>
          </w:p>
        </w:tc>
        <w:tc>
          <w:tcPr>
            <w:tcW w:type="dxa" w:w="7056"/>
            <w:shd w:fill="EDE6D9"/>
            <w:vAlign w:val="center"/>
            <w:tcBorders>
              <w:top w:val="single" w:sz="4" w:color="D8D0C4"/>
              <w:left w:val="single" w:sz="4" w:color="D8D0C4"/>
              <w:bottom w:val="single" w:sz="4" w:color="D8D0C4"/>
              <w:right w:val="single" w:sz="4" w:color="D8D0C4"/>
            </w:tcBorders>
          </w:tcPr>
          <w:p>
            <w:r>
              <w:rPr>
                <w:b/>
                <w:color w:val="081020"/>
                <w:sz w:val="17"/>
              </w:rPr>
              <w:t>Angabe</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Dokumenttyp</w:t>
            </w:r>
          </w:p>
        </w:tc>
        <w:tc>
          <w:tcPr>
            <w:tcW w:type="dxa" w:w="7056"/>
            <w:vAlign w:val="top"/>
            <w:tcBorders>
              <w:top w:val="single" w:sz="4" w:color="D8D0C4"/>
              <w:left w:val="single" w:sz="4" w:color="D8D0C4"/>
              <w:bottom w:val="single" w:sz="4" w:color="D8D0C4"/>
              <w:right w:val="single" w:sz="4" w:color="D8D0C4"/>
            </w:tcBorders>
          </w:tcPr>
          <w:p>
            <w:r>
              <w:rPr>
                <w:color w:val="1E1E1E"/>
                <w:sz w:val="16"/>
              </w:rPr>
              <w:t>Öffentliches Detailkonzept</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Zugehöriges Portal</w:t>
            </w:r>
          </w:p>
        </w:tc>
        <w:tc>
          <w:tcPr>
            <w:tcW w:type="dxa" w:w="7056"/>
            <w:vAlign w:val="top"/>
            <w:tcBorders>
              <w:top w:val="single" w:sz="4" w:color="D8D0C4"/>
              <w:left w:val="single" w:sz="4" w:color="D8D0C4"/>
              <w:bottom w:val="single" w:sz="4" w:color="D8D0C4"/>
              <w:right w:val="single" w:sz="4" w:color="D8D0C4"/>
            </w:tcBorders>
          </w:tcPr>
          <w:p>
            <w:r>
              <w:rPr>
                <w:color w:val="1E1E1E"/>
                <w:sz w:val="16"/>
              </w:rPr>
              <w:t>Wirtschaft &amp; Unternehmen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Unterbereich</w:t>
            </w:r>
          </w:p>
        </w:tc>
        <w:tc>
          <w:tcPr>
            <w:tcW w:type="dxa" w:w="7056"/>
            <w:vAlign w:val="top"/>
            <w:tcBorders>
              <w:top w:val="single" w:sz="4" w:color="D8D0C4"/>
              <w:left w:val="single" w:sz="4" w:color="D8D0C4"/>
              <w:bottom w:val="single" w:sz="4" w:color="D8D0C4"/>
              <w:right w:val="single" w:sz="4" w:color="D8D0C4"/>
            </w:tcBorders>
          </w:tcPr>
          <w:p>
            <w:r>
              <w:rPr>
                <w:color w:val="1E1E1E"/>
                <w:sz w:val="16"/>
              </w:rPr>
              <w:t>Resiliente Wertschöpfungsketten, Lieferantenbewertung und wirkungsorientierter Einkauf</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Autorin</w:t>
            </w:r>
          </w:p>
        </w:tc>
        <w:tc>
          <w:tcPr>
            <w:tcW w:type="dxa" w:w="7056"/>
            <w:vAlign w:val="top"/>
            <w:tcBorders>
              <w:top w:val="single" w:sz="4" w:color="D8D0C4"/>
              <w:left w:val="single" w:sz="4" w:color="D8D0C4"/>
              <w:bottom w:val="single" w:sz="4" w:color="D8D0C4"/>
              <w:right w:val="single" w:sz="4" w:color="D8D0C4"/>
            </w:tcBorders>
          </w:tcPr>
          <w:p>
            <w:r>
              <w:rPr>
                <w:color w:val="1E1E1E"/>
                <w:sz w:val="16"/>
              </w:rPr>
              <w:t>Natalie Weber · Wirkungsökonomie</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Öffentlichkeit</w:t>
            </w:r>
          </w:p>
        </w:tc>
        <w:tc>
          <w:tcPr>
            <w:tcW w:type="dxa" w:w="7056"/>
            <w:vAlign w:val="top"/>
            <w:tcBorders>
              <w:top w:val="single" w:sz="4" w:color="D8D0C4"/>
              <w:left w:val="single" w:sz="4" w:color="D8D0C4"/>
              <w:bottom w:val="single" w:sz="4" w:color="D8D0C4"/>
              <w:right w:val="single" w:sz="4" w:color="D8D0C4"/>
            </w:tcBorders>
          </w:tcPr>
          <w:p>
            <w:r>
              <w:rPr>
                <w:color w:val="1E1E1E"/>
                <w:sz w:val="16"/>
              </w:rPr>
              <w:t>Enthält keine internen CodeX-/Repository-Anweisungen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Website-Rolle</w:t>
            </w:r>
          </w:p>
        </w:tc>
        <w:tc>
          <w:tcPr>
            <w:tcW w:type="dxa" w:w="7056"/>
            <w:vAlign w:val="top"/>
            <w:tcBorders>
              <w:top w:val="single" w:sz="4" w:color="D8D0C4"/>
              <w:left w:val="single" w:sz="4" w:color="D8D0C4"/>
              <w:bottom w:val="single" w:sz="4" w:color="D8D0C4"/>
              <w:right w:val="single" w:sz="4" w:color="D8D0C4"/>
            </w:tcBorders>
          </w:tcPr>
          <w:p>
            <w:r>
              <w:rPr>
                <w:color w:val="1E1E1E"/>
                <w:sz w:val="16"/>
              </w:rPr>
              <w:t>Vertiefender Online-Volltext und Download unter Wirtschaft &amp; Unternehmen</w:t>
            </w:r>
          </w:p>
        </w:tc>
      </w:tr>
    </w:tbl>
    <w:p>
      <w:pPr>
        <w:pStyle w:val="Heading1"/>
        <w:spacing w:before="200" w:after="80"/>
      </w:pPr>
      <w:r>
        <w:rPr>
          <w:rFonts w:ascii="Georgia" w:hAnsi="Georgia"/>
          <w:b/>
          <w:color w:val="081020"/>
        </w:rPr>
        <w:t>Inhaltsübersicht</w:t>
      </w:r>
    </w:p>
    <w:p>
      <w:pPr>
        <w:spacing w:after="120" w:line="269" w:lineRule="auto"/>
      </w:pPr>
      <w:r>
        <w:t>1. Executive Summary</w:t>
      </w:r>
    </w:p>
    <w:p>
      <w:pPr>
        <w:spacing w:after="120" w:line="269" w:lineRule="auto"/>
      </w:pPr>
      <w:r>
        <w:t>2. Ausgangsdiagnose: Warum klassische Beschaffung nicht mehr reicht</w:t>
      </w:r>
    </w:p>
    <w:p>
      <w:pPr>
        <w:spacing w:after="120" w:line="269" w:lineRule="auto"/>
      </w:pPr>
      <w:r>
        <w:t>3. Begriffsabgrenzung</w:t>
      </w:r>
    </w:p>
    <w:p>
      <w:pPr>
        <w:spacing w:after="120" w:line="269" w:lineRule="auto"/>
      </w:pPr>
      <w:r>
        <w:t>4. Akteursgruppen und Rollen</w:t>
      </w:r>
    </w:p>
    <w:p>
      <w:pPr>
        <w:spacing w:after="120" w:line="269" w:lineRule="auto"/>
      </w:pPr>
      <w:r>
        <w:t>5. Wirkungsmechanik des Einkaufs</w:t>
      </w:r>
    </w:p>
    <w:p>
      <w:pPr>
        <w:spacing w:after="120" w:line="269" w:lineRule="auto"/>
      </w:pPr>
      <w:r>
        <w:t>6. Daten-, Indikatoren- und WÖk-ID-Architektur</w:t>
      </w:r>
    </w:p>
    <w:p>
      <w:pPr>
        <w:spacing w:after="120" w:line="269" w:lineRule="auto"/>
      </w:pPr>
      <w:r>
        <w:t>7. Regulatorische Anschlussstellen heute</w:t>
      </w:r>
    </w:p>
    <w:p>
      <w:pPr>
        <w:spacing w:after="120" w:line="269" w:lineRule="auto"/>
      </w:pPr>
      <w:r>
        <w:t>8. Beschaffungsmodell: Vom Screening zur Transformationspartnerschaft</w:t>
      </w:r>
    </w:p>
    <w:p>
      <w:pPr>
        <w:spacing w:after="120" w:line="269" w:lineRule="auto"/>
      </w:pPr>
      <w:r>
        <w:t>9. Vertrags-, Bonus- und Vorsteuerlogik</w:t>
      </w:r>
    </w:p>
    <w:p>
      <w:pPr>
        <w:spacing w:after="120" w:line="269" w:lineRule="auto"/>
      </w:pPr>
      <w:r>
        <w:t>10. Resilienz: Versorgung, Klima, Geopolitik, Menschenrechte und Daten</w:t>
      </w:r>
    </w:p>
    <w:p>
      <w:pPr>
        <w:spacing w:after="120" w:line="269" w:lineRule="auto"/>
      </w:pPr>
      <w:r>
        <w:t>11. KMU-Tauglichkeit und Lieferantenfairness</w:t>
      </w:r>
    </w:p>
    <w:p>
      <w:pPr>
        <w:spacing w:after="120" w:line="269" w:lineRule="auto"/>
      </w:pPr>
      <w:r>
        <w:t>12. Tool- und Rechnerbezug</w:t>
      </w:r>
    </w:p>
    <w:p>
      <w:pPr>
        <w:spacing w:after="120" w:line="269" w:lineRule="auto"/>
      </w:pPr>
      <w:r>
        <w:t>13. Politische Anschlussfähigkeit und Umsetzungsoptionen</w:t>
      </w:r>
    </w:p>
    <w:p>
      <w:pPr>
        <w:spacing w:after="120" w:line="269" w:lineRule="auto"/>
      </w:pPr>
      <w:r>
        <w:t>14. Website- und Portalintegration</w:t>
      </w:r>
    </w:p>
    <w:p>
      <w:pPr>
        <w:spacing w:after="120" w:line="269" w:lineRule="auto"/>
      </w:pPr>
      <w:r>
        <w:t>15. Fazit</w:t>
      </w:r>
    </w:p>
    <w:p>
      <w:pPr>
        <w:spacing w:after="120" w:line="269" w:lineRule="auto"/>
      </w:pPr>
      <w:r>
        <w:t>16. Praxisfälle: Textil, Batterie und Bauprodukt</w:t>
      </w:r>
    </w:p>
    <w:p>
      <w:pPr>
        <w:spacing w:after="120" w:line="269" w:lineRule="auto"/>
      </w:pPr>
      <w:r>
        <w:t>17. Berechnungslogik: Supplier Impact Score</w:t>
      </w:r>
    </w:p>
    <w:p>
      <w:pPr>
        <w:spacing w:after="120" w:line="269" w:lineRule="auto"/>
      </w:pPr>
      <w:r>
        <w:t>18. Datenqualitätsstufen und Assurance</w:t>
      </w:r>
    </w:p>
    <w:p>
      <w:pPr>
        <w:spacing w:after="120" w:line="269" w:lineRule="auto"/>
      </w:pPr>
      <w:r>
        <w:t>19. Implementierungspfad im Unternehmen</w:t>
      </w:r>
    </w:p>
    <w:p>
      <w:pPr>
        <w:spacing w:after="120" w:line="269" w:lineRule="auto"/>
      </w:pPr>
      <w:r>
        <w:t>20. Risiken, Missverständnisse und Schutzmechanismen</w:t>
      </w:r>
    </w:p>
    <w:p>
      <w:r>
        <w:br w:type="page"/>
      </w:r>
    </w:p>
    <w:p>
      <w:pPr>
        <w:pStyle w:val="Heading1"/>
        <w:spacing w:before="200" w:after="80"/>
      </w:pPr>
      <w:r>
        <w:rPr>
          <w:rFonts w:ascii="Georgia" w:hAnsi="Georgia"/>
          <w:b/>
          <w:color w:val="081020"/>
        </w:rPr>
        <w:t>1. Executive Summary</w:t>
      </w:r>
    </w:p>
    <w:p>
      <w:pPr>
        <w:spacing w:after="120" w:line="269" w:lineRule="auto"/>
      </w:pPr>
      <w:r>
        <w:t>Resiliente Wertschöpfungsketten sind in der Wirkungsökonomie nicht nur eine Frage der Versorgungssicherheit. Sie sind ein Wirkungshebel. Einkauf entscheidet, welche Arbeitsbedingungen, Materialpfade, Energiequellen, Lieferantenrisiken, Datenqualitäten und Geschäftsmodelle in ein Unternehmen hineingeholt werden. Damit ist Einkauf nicht mehr nur Kostenstelle, sondern Wirkungsarchitektur.</w:t>
      </w:r>
    </w:p>
    <w:p>
      <w:pPr>
        <w:spacing w:after="120" w:line="269" w:lineRule="auto"/>
      </w:pPr>
      <w:r>
        <w:t>Das alte Beschaffungsmodell optimiert Preis, Verfügbarkeit, Qualität und Lieferzeit. Diese Kriterien bleiben wichtig. Sie reichen aber nicht mehr aus, weil sie Wirkung nur indirekt oder gar nicht abbilden. Wer billige Vorprodukte aus ökologisch, sozial oder demokratisch riskanten Lieferketten einkauft, importiert Wirkungsrisiken in das eigene Geschäftsmodell: regulatorisch, finanziell, reputativ, versicherungstechnisch, operativ und moralisch.</w:t>
      </w:r>
    </w:p>
    <w:p>
      <w:pPr>
        <w:spacing w:after="120" w:line="269" w:lineRule="auto"/>
      </w:pPr>
      <w:r>
        <w:t>Die wirkungsökonomische Beschaffung ersetzt diese Blindheit durch eine Scorecard- und Rückkopplungslogik. Lieferanten werden nicht pauschal moralisch bewertet, sondern anhand konkreter Zustandsveränderungen: Emissionen, Wasser, Materialien, Arbeitsrechte, Gesundheit, Datenqualität, Transparenz, Resilienz, Innovationsfähigkeit und demokratische Verlässlichkeit. Daraus entsteht ein neuer Wettbewerb um bessere Vorleistungen.</w:t>
      </w:r>
    </w:p>
    <w:tbl>
      <w:tblPr>
        <w:tblStyle w:val="TableGrid"/>
        <w:tblW w:type="auto" w:w="0"/>
        <w:tblLook w:firstColumn="1" w:firstRow="1" w:lastColumn="0" w:lastRow="0" w:noHBand="0" w:noVBand="1" w:val="04A0"/>
      </w:tblPr>
      <w:tblGrid>
        <w:gridCol w:w="9994"/>
      </w:tblGrid>
      <w:tr>
        <w:tc>
          <w:tcPr>
            <w:tcW w:type="dxa" w:w="9994"/>
            <w:shd w:fill="F8F5EE"/>
            <w:tcBorders>
              <w:top w:val="single" w:sz="6" w:color="C8D8D0"/>
              <w:left w:val="single" w:sz="6" w:color="C8D8D0"/>
              <w:bottom w:val="single" w:sz="6" w:color="C8D8D0"/>
              <w:right w:val="single" w:sz="6" w:color="C8D8D0"/>
            </w:tcBorders>
          </w:tcPr>
          <w:p>
            <w:r>
              <w:rPr>
                <w:b/>
                <w:color w:val="2A7D5C"/>
                <w:sz w:val="19"/>
              </w:rPr>
              <w:t>Kernsatz</w:t>
            </w:r>
          </w:p>
          <w:p>
            <w:pPr>
              <w:spacing w:after="60"/>
            </w:pPr>
            <w:r>
              <w:rPr>
                <w:sz w:val="17"/>
              </w:rPr>
              <w:t>Einkauf ist in der Wirkungsökonomie kein Preishebel am Rand, sondern der Eingangsknoten der Unternehmenswirkung.</w:t>
            </w:r>
          </w:p>
        </w:tc>
      </w:tr>
    </w:tbl>
    <w:p>
      <w:pPr>
        <w:pStyle w:val="Heading1"/>
        <w:spacing w:before="200" w:after="80"/>
      </w:pPr>
      <w:r>
        <w:rPr>
          <w:rFonts w:ascii="Georgia" w:hAnsi="Georgia"/>
          <w:b/>
          <w:color w:val="081020"/>
        </w:rPr>
        <w:t>2. Ausgangsdiagnose: Warum klassische Beschaffung nicht mehr reicht</w:t>
      </w:r>
    </w:p>
    <w:p>
      <w:pPr>
        <w:spacing w:after="120" w:line="269" w:lineRule="auto"/>
      </w:pPr>
      <w:r>
        <w:t>Die klassische Einkaufslogik entstand in einer Zeit, in der Lieferketten vor allem als Kosten- und Verfügbarkeitsproblem verstanden wurden. Wer günstiger einkaufen konnte, konnte günstiger produzieren oder höhere Margen erzielen. Diese Logik war lange rational, weil externe Folgekosten nicht im Preis sichtbar waren.</w:t>
      </w:r>
    </w:p>
    <w:p>
      <w:pPr>
        <w:spacing w:after="120" w:line="269" w:lineRule="auto"/>
      </w:pPr>
      <w:r>
        <w:t>Heute ist diese Blindheit selbst zum Risiko geworden. Ein günstiger Rohstoff kann hohe CO2-Kosten, Lieferausfallrisiken, menschenrechtliche Risiken, Wasserstress, Biodiversitätsverlust, Importabhängigkeit oder politische Instabilität enthalten. Je stärker Lieferketten global vernetzt sind, desto weniger genügt ein rein transaktionaler Einkauf.</w:t>
      </w:r>
    </w:p>
    <w:p>
      <w:pPr>
        <w:spacing w:after="120" w:line="269" w:lineRule="auto"/>
      </w:pPr>
      <w:r>
        <w:t>Die Wirkungsökonomie liest Lieferketten deshalb als Wirkungsnetz. Jede Vorleistung enthält Daten, Arbeit, Material, Energie, Governance und Zukunftsrisiken. Der Einkauf entscheidet, welche dieser Wirkungen in das Unternehmen gelangen und später im Produkt, im Preis, im Kapitalzugang und im Unternehmensrisiko sichtbar werden.</w:t>
      </w:r>
    </w:p>
    <w:tbl>
      <w:tblPr>
        <w:tblStyle w:val="TableGrid"/>
        <w:tblW w:type="auto" w:w="0"/>
        <w:jc w:val="center"/>
        <w:tblLook w:firstColumn="1" w:firstRow="1" w:lastColumn="0" w:lastRow="0" w:noHBand="0" w:noVBand="1" w:val="04A0"/>
      </w:tblPr>
      <w:tblGrid>
        <w:gridCol w:w="4997"/>
        <w:gridCol w:w="4997"/>
      </w:tblGrid>
      <w:tr>
        <w:trPr>
          <w:tblHeader w:val="true"/>
        </w:trPr>
        <w:tc>
          <w:tcPr>
            <w:tcW w:type="dxa" w:w="4032"/>
            <w:shd w:fill="EDE6D9"/>
            <w:vAlign w:val="center"/>
            <w:tcBorders>
              <w:top w:val="single" w:sz="4" w:color="D8D0C4"/>
              <w:left w:val="single" w:sz="4" w:color="D8D0C4"/>
              <w:bottom w:val="single" w:sz="4" w:color="D8D0C4"/>
              <w:right w:val="single" w:sz="4" w:color="D8D0C4"/>
            </w:tcBorders>
          </w:tcPr>
          <w:p>
            <w:r>
              <w:rPr>
                <w:b/>
                <w:color w:val="081020"/>
                <w:sz w:val="17"/>
              </w:rPr>
              <w:t>Alte Beschaffungslogik</w:t>
            </w:r>
          </w:p>
        </w:tc>
        <w:tc>
          <w:tcPr>
            <w:tcW w:type="dxa" w:w="5472"/>
            <w:shd w:fill="EDE6D9"/>
            <w:vAlign w:val="center"/>
            <w:tcBorders>
              <w:top w:val="single" w:sz="4" w:color="D8D0C4"/>
              <w:left w:val="single" w:sz="4" w:color="D8D0C4"/>
              <w:bottom w:val="single" w:sz="4" w:color="D8D0C4"/>
              <w:right w:val="single" w:sz="4" w:color="D8D0C4"/>
            </w:tcBorders>
          </w:tcPr>
          <w:p>
            <w:r>
              <w:rPr>
                <w:b/>
                <w:color w:val="081020"/>
                <w:sz w:val="17"/>
              </w:rPr>
              <w:t>Neue wirkungsökonomische Logik</w:t>
            </w:r>
          </w:p>
        </w:tc>
      </w:tr>
      <w:tr>
        <w:tc>
          <w:tcPr>
            <w:tcW w:type="dxa" w:w="4032"/>
            <w:vAlign w:val="top"/>
            <w:tcBorders>
              <w:top w:val="single" w:sz="4" w:color="D8D0C4"/>
              <w:left w:val="single" w:sz="4" w:color="D8D0C4"/>
              <w:bottom w:val="single" w:sz="4" w:color="D8D0C4"/>
              <w:right w:val="single" w:sz="4" w:color="D8D0C4"/>
            </w:tcBorders>
          </w:tcPr>
          <w:p>
            <w:r>
              <w:rPr>
                <w:color w:val="1E1E1E"/>
                <w:sz w:val="16"/>
              </w:rPr>
              <w:t>Preis dominiert</w:t>
            </w:r>
          </w:p>
        </w:tc>
        <w:tc>
          <w:tcPr>
            <w:tcW w:type="dxa" w:w="5472"/>
            <w:vAlign w:val="top"/>
            <w:tcBorders>
              <w:top w:val="single" w:sz="4" w:color="D8D0C4"/>
              <w:left w:val="single" w:sz="4" w:color="D8D0C4"/>
              <w:bottom w:val="single" w:sz="4" w:color="D8D0C4"/>
              <w:right w:val="single" w:sz="4" w:color="D8D0C4"/>
            </w:tcBorders>
          </w:tcPr>
          <w:p>
            <w:r>
              <w:rPr>
                <w:color w:val="1E1E1E"/>
                <w:sz w:val="16"/>
              </w:rPr>
              <w:t>Preis bleibt relevant, wird aber um Wirkungs- und Risikowahrheit ergänzt</w:t>
            </w:r>
          </w:p>
        </w:tc>
      </w:tr>
      <w:tr>
        <w:tc>
          <w:tcPr>
            <w:tcW w:type="dxa" w:w="4032"/>
            <w:vAlign w:val="top"/>
            <w:tcBorders>
              <w:top w:val="single" w:sz="4" w:color="D8D0C4"/>
              <w:left w:val="single" w:sz="4" w:color="D8D0C4"/>
              <w:bottom w:val="single" w:sz="4" w:color="D8D0C4"/>
              <w:right w:val="single" w:sz="4" w:color="D8D0C4"/>
            </w:tcBorders>
          </w:tcPr>
          <w:p>
            <w:r>
              <w:rPr>
                <w:color w:val="1E1E1E"/>
                <w:sz w:val="16"/>
              </w:rPr>
              <w:t>Lieferant als Kostenstelle</w:t>
            </w:r>
          </w:p>
        </w:tc>
        <w:tc>
          <w:tcPr>
            <w:tcW w:type="dxa" w:w="5472"/>
            <w:vAlign w:val="top"/>
            <w:tcBorders>
              <w:top w:val="single" w:sz="4" w:color="D8D0C4"/>
              <w:left w:val="single" w:sz="4" w:color="D8D0C4"/>
              <w:bottom w:val="single" w:sz="4" w:color="D8D0C4"/>
              <w:right w:val="single" w:sz="4" w:color="D8D0C4"/>
            </w:tcBorders>
          </w:tcPr>
          <w:p>
            <w:r>
              <w:rPr>
                <w:color w:val="1E1E1E"/>
                <w:sz w:val="16"/>
              </w:rPr>
              <w:t>Lieferant als Wirkungspartner und Datenknoten</w:t>
            </w:r>
          </w:p>
        </w:tc>
      </w:tr>
      <w:tr>
        <w:tc>
          <w:tcPr>
            <w:tcW w:type="dxa" w:w="4032"/>
            <w:vAlign w:val="top"/>
            <w:tcBorders>
              <w:top w:val="single" w:sz="4" w:color="D8D0C4"/>
              <w:left w:val="single" w:sz="4" w:color="D8D0C4"/>
              <w:bottom w:val="single" w:sz="4" w:color="D8D0C4"/>
              <w:right w:val="single" w:sz="4" w:color="D8D0C4"/>
            </w:tcBorders>
          </w:tcPr>
          <w:p>
            <w:r>
              <w:rPr>
                <w:color w:val="1E1E1E"/>
                <w:sz w:val="16"/>
              </w:rPr>
              <w:t>Audit als Nachweis</w:t>
            </w:r>
          </w:p>
        </w:tc>
        <w:tc>
          <w:tcPr>
            <w:tcW w:type="dxa" w:w="5472"/>
            <w:vAlign w:val="top"/>
            <w:tcBorders>
              <w:top w:val="single" w:sz="4" w:color="D8D0C4"/>
              <w:left w:val="single" w:sz="4" w:color="D8D0C4"/>
              <w:bottom w:val="single" w:sz="4" w:color="D8D0C4"/>
              <w:right w:val="single" w:sz="4" w:color="D8D0C4"/>
            </w:tcBorders>
          </w:tcPr>
          <w:p>
            <w:r>
              <w:rPr>
                <w:color w:val="1E1E1E"/>
                <w:sz w:val="16"/>
              </w:rPr>
              <w:t>Wirkungsdaten, Scorecards und kontinuierliche Rückkopplung</w:t>
            </w:r>
          </w:p>
        </w:tc>
      </w:tr>
      <w:tr>
        <w:tc>
          <w:tcPr>
            <w:tcW w:type="dxa" w:w="4032"/>
            <w:vAlign w:val="top"/>
            <w:tcBorders>
              <w:top w:val="single" w:sz="4" w:color="D8D0C4"/>
              <w:left w:val="single" w:sz="4" w:color="D8D0C4"/>
              <w:bottom w:val="single" w:sz="4" w:color="D8D0C4"/>
              <w:right w:val="single" w:sz="4" w:color="D8D0C4"/>
            </w:tcBorders>
          </w:tcPr>
          <w:p>
            <w:r>
              <w:rPr>
                <w:color w:val="1E1E1E"/>
                <w:sz w:val="16"/>
              </w:rPr>
              <w:t>Risiko erst bei Störung</w:t>
            </w:r>
          </w:p>
        </w:tc>
        <w:tc>
          <w:tcPr>
            <w:tcW w:type="dxa" w:w="5472"/>
            <w:vAlign w:val="top"/>
            <w:tcBorders>
              <w:top w:val="single" w:sz="4" w:color="D8D0C4"/>
              <w:left w:val="single" w:sz="4" w:color="D8D0C4"/>
              <w:bottom w:val="single" w:sz="4" w:color="D8D0C4"/>
              <w:right w:val="single" w:sz="4" w:color="D8D0C4"/>
            </w:tcBorders>
          </w:tcPr>
          <w:p>
            <w:r>
              <w:rPr>
                <w:color w:val="1E1E1E"/>
                <w:sz w:val="16"/>
              </w:rPr>
              <w:t>Risiko als Frühwarninformation im Einkauf</w:t>
            </w:r>
          </w:p>
        </w:tc>
      </w:tr>
      <w:tr>
        <w:tc>
          <w:tcPr>
            <w:tcW w:type="dxa" w:w="4032"/>
            <w:vAlign w:val="top"/>
            <w:tcBorders>
              <w:top w:val="single" w:sz="4" w:color="D8D0C4"/>
              <w:left w:val="single" w:sz="4" w:color="D8D0C4"/>
              <w:bottom w:val="single" w:sz="4" w:color="D8D0C4"/>
              <w:right w:val="single" w:sz="4" w:color="D8D0C4"/>
            </w:tcBorders>
          </w:tcPr>
          <w:p>
            <w:r>
              <w:rPr>
                <w:color w:val="1E1E1E"/>
                <w:sz w:val="16"/>
              </w:rPr>
              <w:t>Nachhaltigkeit als Zusatzfrage</w:t>
            </w:r>
          </w:p>
        </w:tc>
        <w:tc>
          <w:tcPr>
            <w:tcW w:type="dxa" w:w="5472"/>
            <w:vAlign w:val="top"/>
            <w:tcBorders>
              <w:top w:val="single" w:sz="4" w:color="D8D0C4"/>
              <w:left w:val="single" w:sz="4" w:color="D8D0C4"/>
              <w:bottom w:val="single" w:sz="4" w:color="D8D0C4"/>
              <w:right w:val="single" w:sz="4" w:color="D8D0C4"/>
            </w:tcBorders>
          </w:tcPr>
          <w:p>
            <w:r>
              <w:rPr>
                <w:color w:val="1E1E1E"/>
                <w:sz w:val="16"/>
              </w:rPr>
              <w:t>Wirkung als Standardkriterium jeder Beschaffungsentscheidung</w:t>
            </w:r>
          </w:p>
        </w:tc>
      </w:tr>
    </w:tbl>
    <w:p>
      <w:pPr>
        <w:pStyle w:val="Heading1"/>
        <w:spacing w:before="200" w:after="80"/>
      </w:pPr>
      <w:r>
        <w:rPr>
          <w:rFonts w:ascii="Georgia" w:hAnsi="Georgia"/>
          <w:b/>
          <w:color w:val="081020"/>
        </w:rPr>
        <w:t>3. Begriffsabgrenzung</w:t>
      </w:r>
    </w:p>
    <w:p>
      <w:pPr>
        <w:spacing w:after="120" w:line="269" w:lineRule="auto"/>
      </w:pPr>
      <w:r>
        <w:t>Wirkungsorientierter Einkauf bedeutet nicht, dass das billigste Angebot automatisch falsch oder das teuerste automatisch richtig ist. Er bedeutet, dass die Einkaufsentscheidung nicht mehr nur nach unmittelbaren Kosten, sondern nach Netto-Wirkung und Zukunftsfähigkeit gelesen wird.</w:t>
      </w:r>
    </w:p>
    <w:p>
      <w:pPr>
        <w:spacing w:after="120" w:line="269" w:lineRule="auto"/>
      </w:pPr>
      <w:r>
        <w:t>Resiliente Wertschöpfungsketten bedeuten nicht maximale Autarkie. Sie bedeuten, dass Lieferfähigkeit, Rechte, Umwelt, Datenqualität, Finanzierung, Versicherung und politische Stabilität so verbunden werden, dass ein Unternehmen auch unter Stress handlungsfähig bleibt.</w:t>
      </w:r>
    </w:p>
    <w:p>
      <w:pPr>
        <w:spacing w:after="120" w:line="269" w:lineRule="auto"/>
      </w:pPr>
      <w:r>
        <w:t>Lieferantenwirkung ist nicht identisch mit Lieferantenimage. Entscheidend sind nachvollziehbare Wirkungsdaten, Mindeststandards, rote Linien, Verbesserungsfähigkeit und konkrete Rückkopplung in Einkaufsvolumen, Vertragsbedingungen, Zahlungsziele, Bonuslogik und Lieferantenentwicklung.</w:t>
      </w:r>
    </w:p>
    <w:p>
      <w:pPr>
        <w:spacing w:after="40"/>
        <w:ind w:left="317" w:hanging="173"/>
      </w:pPr>
      <w:r>
        <w:rPr>
          <w:color w:val="2A7D5C"/>
        </w:rPr>
        <w:t xml:space="preserve">• </w:t>
      </w:r>
      <w:r>
        <w:t>Einkauf nach Wirkung ist keine reine ESG-Checkliste.</w:t>
      </w:r>
    </w:p>
    <w:p>
      <w:pPr>
        <w:spacing w:after="40"/>
        <w:ind w:left="317" w:hanging="173"/>
      </w:pPr>
      <w:r>
        <w:rPr>
          <w:color w:val="2A7D5C"/>
        </w:rPr>
        <w:t xml:space="preserve">• </w:t>
      </w:r>
      <w:r>
        <w:t>Resilienz ist mehr als Lagerbestand.</w:t>
      </w:r>
    </w:p>
    <w:p>
      <w:pPr>
        <w:spacing w:after="40"/>
        <w:ind w:left="317" w:hanging="173"/>
      </w:pPr>
      <w:r>
        <w:rPr>
          <w:color w:val="2A7D5C"/>
        </w:rPr>
        <w:t xml:space="preserve">• </w:t>
      </w:r>
      <w:r>
        <w:t>Lieferantenbewertung ist kein Social Scoring von Menschen.</w:t>
      </w:r>
    </w:p>
    <w:p>
      <w:pPr>
        <w:spacing w:after="40"/>
        <w:ind w:left="317" w:hanging="173"/>
      </w:pPr>
      <w:r>
        <w:rPr>
          <w:color w:val="2A7D5C"/>
        </w:rPr>
        <w:t xml:space="preserve">• </w:t>
      </w:r>
      <w:r>
        <w:t>Wirkungsdaten ersetzen keine Verhandlung, sondern machen sie wahrheitsnäher.</w:t>
      </w:r>
    </w:p>
    <w:p/>
    <w:p>
      <w:pPr>
        <w:pStyle w:val="Heading1"/>
        <w:spacing w:before="200" w:after="80"/>
      </w:pPr>
      <w:r>
        <w:rPr>
          <w:rFonts w:ascii="Georgia" w:hAnsi="Georgia"/>
          <w:b/>
          <w:color w:val="081020"/>
        </w:rPr>
        <w:t>4. Akteursgruppen und Rollen</w:t>
      </w:r>
    </w:p>
    <w:p>
      <w:pPr>
        <w:spacing w:after="120" w:line="269" w:lineRule="auto"/>
      </w:pPr>
      <w:r>
        <w:t>Ein wirkungsorientierter Einkauf kann nicht allein in der Einkaufsabteilung entstehen. Er braucht eine neue Rollenverteilung zwischen Einkauf, Nachhaltigkeit, Recht, Finanzen, Risikomanagement, Produktion, Logistik, IT, Produktentwicklung, Vertrieb und Geschäftsführung.</w:t>
      </w:r>
    </w:p>
    <w:tbl>
      <w:tblPr>
        <w:tblStyle w:val="TableGrid"/>
        <w:tblW w:type="auto" w:w="0"/>
        <w:jc w:val="center"/>
        <w:tblLook w:firstColumn="1" w:firstRow="1" w:lastColumn="0" w:lastRow="0" w:noHBand="0" w:noVBand="1" w:val="04A0"/>
      </w:tblPr>
      <w:tblGrid>
        <w:gridCol w:w="3331"/>
        <w:gridCol w:w="3331"/>
        <w:gridCol w:w="3331"/>
      </w:tblGrid>
      <w:tr>
        <w:trPr>
          <w:tblHeader w:val="true"/>
        </w:trPr>
        <w:tc>
          <w:tcPr>
            <w:tcW w:type="dxa" w:w="2160"/>
            <w:shd w:fill="EDE6D9"/>
            <w:vAlign w:val="center"/>
            <w:tcBorders>
              <w:top w:val="single" w:sz="4" w:color="D8D0C4"/>
              <w:left w:val="single" w:sz="4" w:color="D8D0C4"/>
              <w:bottom w:val="single" w:sz="4" w:color="D8D0C4"/>
              <w:right w:val="single" w:sz="4" w:color="D8D0C4"/>
            </w:tcBorders>
          </w:tcPr>
          <w:p>
            <w:r>
              <w:rPr>
                <w:b/>
                <w:color w:val="081020"/>
                <w:sz w:val="17"/>
              </w:rPr>
              <w:t>Akteur</w:t>
            </w:r>
          </w:p>
        </w:tc>
        <w:tc>
          <w:tcPr>
            <w:tcW w:type="dxa" w:w="4320"/>
            <w:shd w:fill="EDE6D9"/>
            <w:vAlign w:val="center"/>
            <w:tcBorders>
              <w:top w:val="single" w:sz="4" w:color="D8D0C4"/>
              <w:left w:val="single" w:sz="4" w:color="D8D0C4"/>
              <w:bottom w:val="single" w:sz="4" w:color="D8D0C4"/>
              <w:right w:val="single" w:sz="4" w:color="D8D0C4"/>
            </w:tcBorders>
          </w:tcPr>
          <w:p>
            <w:r>
              <w:rPr>
                <w:b/>
                <w:color w:val="081020"/>
                <w:sz w:val="17"/>
              </w:rPr>
              <w:t>Rolle im wirkungsorientierten Einkauf</w:t>
            </w:r>
          </w:p>
        </w:tc>
        <w:tc>
          <w:tcPr>
            <w:tcW w:type="dxa" w:w="3312"/>
            <w:shd w:fill="EDE6D9"/>
            <w:vAlign w:val="center"/>
            <w:tcBorders>
              <w:top w:val="single" w:sz="4" w:color="D8D0C4"/>
              <w:left w:val="single" w:sz="4" w:color="D8D0C4"/>
              <w:bottom w:val="single" w:sz="4" w:color="D8D0C4"/>
              <w:right w:val="single" w:sz="4" w:color="D8D0C4"/>
            </w:tcBorders>
          </w:tcPr>
          <w:p>
            <w:r>
              <w:rPr>
                <w:b/>
                <w:color w:val="081020"/>
                <w:sz w:val="17"/>
              </w:rPr>
              <w:t>WÖk-Anschluss</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Einkauf</w:t>
            </w:r>
          </w:p>
        </w:tc>
        <w:tc>
          <w:tcPr>
            <w:tcW w:type="dxa" w:w="4320"/>
            <w:vAlign w:val="top"/>
            <w:tcBorders>
              <w:top w:val="single" w:sz="4" w:color="D8D0C4"/>
              <w:left w:val="single" w:sz="4" w:color="D8D0C4"/>
              <w:bottom w:val="single" w:sz="4" w:color="D8D0C4"/>
              <w:right w:val="single" w:sz="4" w:color="D8D0C4"/>
            </w:tcBorders>
          </w:tcPr>
          <w:p>
            <w:r>
              <w:rPr>
                <w:color w:val="1E1E1E"/>
                <w:sz w:val="16"/>
              </w:rPr>
              <w:t>Lieferantenauswahl, Ausschreibung, Konditionen, Eskalation</w:t>
            </w:r>
          </w:p>
        </w:tc>
        <w:tc>
          <w:tcPr>
            <w:tcW w:type="dxa" w:w="3312"/>
            <w:vAlign w:val="top"/>
            <w:tcBorders>
              <w:top w:val="single" w:sz="4" w:color="D8D0C4"/>
              <w:left w:val="single" w:sz="4" w:color="D8D0C4"/>
              <w:bottom w:val="single" w:sz="4" w:color="D8D0C4"/>
              <w:right w:val="single" w:sz="4" w:color="D8D0C4"/>
            </w:tcBorders>
          </w:tcPr>
          <w:p>
            <w:r>
              <w:rPr>
                <w:color w:val="1E1E1E"/>
                <w:sz w:val="16"/>
              </w:rPr>
              <w:t>Supplier Scorecard, Bonus-Malus, bevorzugte Lieferanten</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Nachhaltigkeit/ESG</w:t>
            </w:r>
          </w:p>
        </w:tc>
        <w:tc>
          <w:tcPr>
            <w:tcW w:type="dxa" w:w="4320"/>
            <w:vAlign w:val="top"/>
            <w:tcBorders>
              <w:top w:val="single" w:sz="4" w:color="D8D0C4"/>
              <w:left w:val="single" w:sz="4" w:color="D8D0C4"/>
              <w:bottom w:val="single" w:sz="4" w:color="D8D0C4"/>
              <w:right w:val="single" w:sz="4" w:color="D8D0C4"/>
            </w:tcBorders>
          </w:tcPr>
          <w:p>
            <w:r>
              <w:rPr>
                <w:color w:val="1E1E1E"/>
                <w:sz w:val="16"/>
              </w:rPr>
              <w:t>Datenlogik, SDG-/ESRS-Bezug, Risikoindikatoren</w:t>
            </w:r>
          </w:p>
        </w:tc>
        <w:tc>
          <w:tcPr>
            <w:tcW w:type="dxa" w:w="3312"/>
            <w:vAlign w:val="top"/>
            <w:tcBorders>
              <w:top w:val="single" w:sz="4" w:color="D8D0C4"/>
              <w:left w:val="single" w:sz="4" w:color="D8D0C4"/>
              <w:bottom w:val="single" w:sz="4" w:color="D8D0C4"/>
              <w:right w:val="single" w:sz="4" w:color="D8D0C4"/>
            </w:tcBorders>
          </w:tcPr>
          <w:p>
            <w:r>
              <w:rPr>
                <w:color w:val="1E1E1E"/>
                <w:sz w:val="16"/>
              </w:rPr>
              <w:t>WÖk-ID-Mapping, Datenqualität, Quellenprüfung</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Recht/Compliance</w:t>
            </w:r>
          </w:p>
        </w:tc>
        <w:tc>
          <w:tcPr>
            <w:tcW w:type="dxa" w:w="4320"/>
            <w:vAlign w:val="top"/>
            <w:tcBorders>
              <w:top w:val="single" w:sz="4" w:color="D8D0C4"/>
              <w:left w:val="single" w:sz="4" w:color="D8D0C4"/>
              <w:bottom w:val="single" w:sz="4" w:color="D8D0C4"/>
              <w:right w:val="single" w:sz="4" w:color="D8D0C4"/>
            </w:tcBorders>
          </w:tcPr>
          <w:p>
            <w:r>
              <w:rPr>
                <w:color w:val="1E1E1E"/>
                <w:sz w:val="16"/>
              </w:rPr>
              <w:t>Sorgfaltspflichten, Vertragsklauseln, Nachweise</w:t>
            </w:r>
          </w:p>
        </w:tc>
        <w:tc>
          <w:tcPr>
            <w:tcW w:type="dxa" w:w="3312"/>
            <w:vAlign w:val="top"/>
            <w:tcBorders>
              <w:top w:val="single" w:sz="4" w:color="D8D0C4"/>
              <w:left w:val="single" w:sz="4" w:color="D8D0C4"/>
              <w:bottom w:val="single" w:sz="4" w:color="D8D0C4"/>
              <w:right w:val="single" w:sz="4" w:color="D8D0C4"/>
            </w:tcBorders>
          </w:tcPr>
          <w:p>
            <w:r>
              <w:rPr>
                <w:color w:val="1E1E1E"/>
                <w:sz w:val="16"/>
              </w:rPr>
              <w:t>CSDDD, LkSG, Whistleblowing, Beschwerdeverfahren</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Finanzen/Controlling</w:t>
            </w:r>
          </w:p>
        </w:tc>
        <w:tc>
          <w:tcPr>
            <w:tcW w:type="dxa" w:w="4320"/>
            <w:vAlign w:val="top"/>
            <w:tcBorders>
              <w:top w:val="single" w:sz="4" w:color="D8D0C4"/>
              <w:left w:val="single" w:sz="4" w:color="D8D0C4"/>
              <w:bottom w:val="single" w:sz="4" w:color="D8D0C4"/>
              <w:right w:val="single" w:sz="4" w:color="D8D0C4"/>
            </w:tcBorders>
          </w:tcPr>
          <w:p>
            <w:r>
              <w:rPr>
                <w:color w:val="1E1E1E"/>
                <w:sz w:val="16"/>
              </w:rPr>
              <w:t>Kostenwirkung, Kapitalbindung, T-SROI, Budget</w:t>
            </w:r>
          </w:p>
        </w:tc>
        <w:tc>
          <w:tcPr>
            <w:tcW w:type="dxa" w:w="3312"/>
            <w:vAlign w:val="top"/>
            <w:tcBorders>
              <w:top w:val="single" w:sz="4" w:color="D8D0C4"/>
              <w:left w:val="single" w:sz="4" w:color="D8D0C4"/>
              <w:bottom w:val="single" w:sz="4" w:color="D8D0C4"/>
              <w:right w:val="single" w:sz="4" w:color="D8D0C4"/>
            </w:tcBorders>
          </w:tcPr>
          <w:p>
            <w:r>
              <w:rPr>
                <w:color w:val="1E1E1E"/>
                <w:sz w:val="16"/>
              </w:rPr>
              <w:t>Wirkungscontrolling, CapEx/Opex, Finanzmarkt-Anschluss</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Produktion/Qualität</w:t>
            </w:r>
          </w:p>
        </w:tc>
        <w:tc>
          <w:tcPr>
            <w:tcW w:type="dxa" w:w="4320"/>
            <w:vAlign w:val="top"/>
            <w:tcBorders>
              <w:top w:val="single" w:sz="4" w:color="D8D0C4"/>
              <w:left w:val="single" w:sz="4" w:color="D8D0C4"/>
              <w:bottom w:val="single" w:sz="4" w:color="D8D0C4"/>
              <w:right w:val="single" w:sz="4" w:color="D8D0C4"/>
            </w:tcBorders>
          </w:tcPr>
          <w:p>
            <w:r>
              <w:rPr>
                <w:color w:val="1E1E1E"/>
                <w:sz w:val="16"/>
              </w:rPr>
              <w:t>Materialeinsatz, Prozessstabilität, Fehlerkosten</w:t>
            </w:r>
          </w:p>
        </w:tc>
        <w:tc>
          <w:tcPr>
            <w:tcW w:type="dxa" w:w="3312"/>
            <w:vAlign w:val="top"/>
            <w:tcBorders>
              <w:top w:val="single" w:sz="4" w:color="D8D0C4"/>
              <w:left w:val="single" w:sz="4" w:color="D8D0C4"/>
              <w:bottom w:val="single" w:sz="4" w:color="D8D0C4"/>
              <w:right w:val="single" w:sz="4" w:color="D8D0C4"/>
            </w:tcBorders>
          </w:tcPr>
          <w:p>
            <w:r>
              <w:rPr>
                <w:color w:val="1E1E1E"/>
                <w:sz w:val="16"/>
              </w:rPr>
              <w:t>DPP, Produktqualität, Kreislaufdaten</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IT/Data</w:t>
            </w:r>
          </w:p>
        </w:tc>
        <w:tc>
          <w:tcPr>
            <w:tcW w:type="dxa" w:w="4320"/>
            <w:vAlign w:val="top"/>
            <w:tcBorders>
              <w:top w:val="single" w:sz="4" w:color="D8D0C4"/>
              <w:left w:val="single" w:sz="4" w:color="D8D0C4"/>
              <w:bottom w:val="single" w:sz="4" w:color="D8D0C4"/>
              <w:right w:val="single" w:sz="4" w:color="D8D0C4"/>
            </w:tcBorders>
          </w:tcPr>
          <w:p>
            <w:r>
              <w:rPr>
                <w:color w:val="1E1E1E"/>
                <w:sz w:val="16"/>
              </w:rPr>
              <w:t>Datenräume, Schnittstellen, DPP, XBRL, ERP</w:t>
            </w:r>
          </w:p>
        </w:tc>
        <w:tc>
          <w:tcPr>
            <w:tcW w:type="dxa" w:w="3312"/>
            <w:vAlign w:val="top"/>
            <w:tcBorders>
              <w:top w:val="single" w:sz="4" w:color="D8D0C4"/>
              <w:left w:val="single" w:sz="4" w:color="D8D0C4"/>
              <w:bottom w:val="single" w:sz="4" w:color="D8D0C4"/>
              <w:right w:val="single" w:sz="4" w:color="D8D0C4"/>
            </w:tcBorders>
          </w:tcPr>
          <w:p>
            <w:r>
              <w:rPr>
                <w:color w:val="1E1E1E"/>
                <w:sz w:val="16"/>
              </w:rPr>
              <w:t>Wirkungsdatenraum, automatisierte Scorecard</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Lieferanten</w:t>
            </w:r>
          </w:p>
        </w:tc>
        <w:tc>
          <w:tcPr>
            <w:tcW w:type="dxa" w:w="4320"/>
            <w:vAlign w:val="top"/>
            <w:tcBorders>
              <w:top w:val="single" w:sz="4" w:color="D8D0C4"/>
              <w:left w:val="single" w:sz="4" w:color="D8D0C4"/>
              <w:bottom w:val="single" w:sz="4" w:color="D8D0C4"/>
              <w:right w:val="single" w:sz="4" w:color="D8D0C4"/>
            </w:tcBorders>
          </w:tcPr>
          <w:p>
            <w:r>
              <w:rPr>
                <w:color w:val="1E1E1E"/>
                <w:sz w:val="16"/>
              </w:rPr>
              <w:t>Daten liefern, Wirkung verbessern, Innovation einbringen</w:t>
            </w:r>
          </w:p>
        </w:tc>
        <w:tc>
          <w:tcPr>
            <w:tcW w:type="dxa" w:w="3312"/>
            <w:vAlign w:val="top"/>
            <w:tcBorders>
              <w:top w:val="single" w:sz="4" w:color="D8D0C4"/>
              <w:left w:val="single" w:sz="4" w:color="D8D0C4"/>
              <w:bottom w:val="single" w:sz="4" w:color="D8D0C4"/>
              <w:right w:val="single" w:sz="4" w:color="D8D0C4"/>
            </w:tcBorders>
          </w:tcPr>
          <w:p>
            <w:r>
              <w:rPr>
                <w:color w:val="1E1E1E"/>
                <w:sz w:val="16"/>
              </w:rPr>
              <w:t>Lieferantenentwicklung, Transformationspartnerschaften</w:t>
            </w:r>
          </w:p>
        </w:tc>
      </w:tr>
    </w:tbl>
    <w:p>
      <w:pPr>
        <w:pStyle w:val="Heading1"/>
        <w:spacing w:before="200" w:after="80"/>
      </w:pPr>
      <w:r>
        <w:rPr>
          <w:rFonts w:ascii="Georgia" w:hAnsi="Georgia"/>
          <w:b/>
          <w:color w:val="081020"/>
        </w:rPr>
        <w:t>5. Wirkungsmechanik des Einkaufs</w:t>
      </w:r>
    </w:p>
    <w:p>
      <w:pPr>
        <w:spacing w:after="120" w:line="269" w:lineRule="auto"/>
      </w:pPr>
      <w:r>
        <w:t>Die Wirkungsmechanik beginnt mit einer einfachen Frage: Welche Zustandsveränderungen werden durch eine Beschaffungsentscheidung ausgelöst oder stabilisiert? Ein Lieferant mit hohem Wasserstress, prekären Arbeitsbedingungen oder intransparenter Datenbasis erzeugt andere Wirkungsrisiken als ein Lieferant mit belastbarer Kreislaufwirtschaft, fairen Löhnen und auditierbarer Energiedaten.</w:t>
      </w:r>
    </w:p>
    <w:p>
      <w:pPr>
        <w:spacing w:after="120" w:line="269" w:lineRule="auto"/>
      </w:pPr>
      <w:r>
        <w:t>Die WÖk übersetzt diese Wirkung nicht in eine moralische Punkteliste, sondern in eine mehrstufige Steuerungslogik: Mindestanforderungen, rote Linien, Scorecards, Wirkungsverbesserung, Lieferantenentwicklung, Vertragsrückkopplung und Einkaufsvolumen.</w:t>
      </w:r>
    </w:p>
    <w:p>
      <w:pPr>
        <w:spacing w:after="40"/>
        <w:ind w:left="317" w:hanging="173"/>
      </w:pPr>
      <w:r>
        <w:rPr>
          <w:color w:val="2A7D5C"/>
        </w:rPr>
        <w:t xml:space="preserve">• </w:t>
      </w:r>
      <w:r>
        <w:t>Mindestanforderungen definieren, was nicht unterschritten werden darf.</w:t>
      </w:r>
    </w:p>
    <w:p>
      <w:pPr>
        <w:spacing w:after="40"/>
        <w:ind w:left="317" w:hanging="173"/>
      </w:pPr>
      <w:r>
        <w:rPr>
          <w:color w:val="2A7D5C"/>
        </w:rPr>
        <w:t xml:space="preserve">• </w:t>
      </w:r>
      <w:r>
        <w:t>Scorecards zeigen die Wirkungsqualität entlang relevanter SDGs und SDG+.</w:t>
      </w:r>
    </w:p>
    <w:p>
      <w:pPr>
        <w:spacing w:after="40"/>
        <w:ind w:left="317" w:hanging="173"/>
      </w:pPr>
      <w:r>
        <w:rPr>
          <w:color w:val="2A7D5C"/>
        </w:rPr>
        <w:t xml:space="preserve">• </w:t>
      </w:r>
      <w:r>
        <w:t>Reverse Merit Order verhindert, dass schwere Defizite durch gute Einzelwerte überdeckt werden.</w:t>
      </w:r>
    </w:p>
    <w:p>
      <w:pPr>
        <w:spacing w:after="40"/>
        <w:ind w:left="317" w:hanging="173"/>
      </w:pPr>
      <w:r>
        <w:rPr>
          <w:color w:val="2A7D5C"/>
        </w:rPr>
        <w:t xml:space="preserve">• </w:t>
      </w:r>
      <w:r>
        <w:t>Lieferantenentwicklung schafft Verbesserungspfade statt reiner Ausschlusslogik.</w:t>
      </w:r>
    </w:p>
    <w:p>
      <w:pPr>
        <w:spacing w:after="40"/>
        <w:ind w:left="317" w:hanging="173"/>
      </w:pPr>
      <w:r>
        <w:rPr>
          <w:color w:val="2A7D5C"/>
        </w:rPr>
        <w:t xml:space="preserve">• </w:t>
      </w:r>
      <w:r>
        <w:t>Einkaufsvolumen und Konditionen werden zum Rückkopplungshebel.</w:t>
      </w:r>
    </w:p>
    <w:p>
      <w:pPr>
        <w:pStyle w:val="Heading1"/>
        <w:spacing w:before="200" w:after="80"/>
      </w:pPr>
      <w:r>
        <w:rPr>
          <w:rFonts w:ascii="Georgia" w:hAnsi="Georgia"/>
          <w:b/>
          <w:color w:val="081020"/>
        </w:rPr>
        <w:t>6. Daten-, Indikatoren- und WÖk-ID-Architektur</w:t>
      </w:r>
    </w:p>
    <w:p>
      <w:pPr>
        <w:spacing w:after="120" w:line="269" w:lineRule="auto"/>
      </w:pPr>
      <w:r>
        <w:t>Die Datenbasis entsteht aus bestehenden und künftigen Unternehmensdaten: CSRD/ESRS, GRI, EU-Taxonomie, EPDs, Produktdaten, Zertifizierungen, Lieferantenaudits, Zoll- und Importdaten, Materialstammdaten, Energiedaten, HR- und Arbeitsschutzdaten sowie Beschwerde- und Abhilfesysteme.</w:t>
      </w:r>
    </w:p>
    <w:p>
      <w:pPr>
        <w:spacing w:after="120" w:line="269" w:lineRule="auto"/>
      </w:pPr>
      <w:r>
        <w:t>Wichtig ist die Unterscheidung zwischen Berichtsdaten und Steuerungsdaten. Berichtsdaten sagen, was dokumentiert wird. Steuerungsdaten sagen, worauf eine Entscheidung zurückwirkt. Die Wirkungsökonomie macht aus Lieferkettendaten Einkaufslogik.</w:t>
      </w:r>
    </w:p>
    <w:tbl>
      <w:tblPr>
        <w:tblStyle w:val="TableGrid"/>
        <w:tblW w:type="auto" w:w="0"/>
        <w:jc w:val="center"/>
        <w:tblLook w:firstColumn="1" w:firstRow="1" w:lastColumn="0" w:lastRow="0" w:noHBand="0" w:noVBand="1" w:val="04A0"/>
      </w:tblPr>
      <w:tblGrid>
        <w:gridCol w:w="3331"/>
        <w:gridCol w:w="3331"/>
        <w:gridCol w:w="3331"/>
      </w:tblGrid>
      <w:tr>
        <w:trPr>
          <w:tblHeader w:val="true"/>
        </w:trPr>
        <w:tc>
          <w:tcPr>
            <w:tcW w:type="dxa" w:w="2304"/>
            <w:shd w:fill="EDE6D9"/>
            <w:vAlign w:val="center"/>
            <w:tcBorders>
              <w:top w:val="single" w:sz="4" w:color="D8D0C4"/>
              <w:left w:val="single" w:sz="4" w:color="D8D0C4"/>
              <w:bottom w:val="single" w:sz="4" w:color="D8D0C4"/>
              <w:right w:val="single" w:sz="4" w:color="D8D0C4"/>
            </w:tcBorders>
          </w:tcPr>
          <w:p>
            <w:r>
              <w:rPr>
                <w:b/>
                <w:color w:val="081020"/>
                <w:sz w:val="17"/>
              </w:rPr>
              <w:t>Indikatorfamilie</w:t>
            </w:r>
          </w:p>
        </w:tc>
        <w:tc>
          <w:tcPr>
            <w:tcW w:type="dxa" w:w="4320"/>
            <w:shd w:fill="EDE6D9"/>
            <w:vAlign w:val="center"/>
            <w:tcBorders>
              <w:top w:val="single" w:sz="4" w:color="D8D0C4"/>
              <w:left w:val="single" w:sz="4" w:color="D8D0C4"/>
              <w:bottom w:val="single" w:sz="4" w:color="D8D0C4"/>
              <w:right w:val="single" w:sz="4" w:color="D8D0C4"/>
            </w:tcBorders>
          </w:tcPr>
          <w:p>
            <w:r>
              <w:rPr>
                <w:b/>
                <w:color w:val="081020"/>
                <w:sz w:val="17"/>
              </w:rPr>
              <w:t>Beispiele</w:t>
            </w:r>
          </w:p>
        </w:tc>
        <w:tc>
          <w:tcPr>
            <w:tcW w:type="dxa" w:w="3600"/>
            <w:shd w:fill="EDE6D9"/>
            <w:vAlign w:val="center"/>
            <w:tcBorders>
              <w:top w:val="single" w:sz="4" w:color="D8D0C4"/>
              <w:left w:val="single" w:sz="4" w:color="D8D0C4"/>
              <w:bottom w:val="single" w:sz="4" w:color="D8D0C4"/>
              <w:right w:val="single" w:sz="4" w:color="D8D0C4"/>
            </w:tcBorders>
          </w:tcPr>
          <w:p>
            <w:r>
              <w:rPr>
                <w:b/>
                <w:color w:val="081020"/>
                <w:sz w:val="17"/>
              </w:rPr>
              <w:t>Einkaufsentscheidung</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Klima</w:t>
            </w:r>
          </w:p>
        </w:tc>
        <w:tc>
          <w:tcPr>
            <w:tcW w:type="dxa" w:w="4320"/>
            <w:vAlign w:val="top"/>
            <w:tcBorders>
              <w:top w:val="single" w:sz="4" w:color="D8D0C4"/>
              <w:left w:val="single" w:sz="4" w:color="D8D0C4"/>
              <w:bottom w:val="single" w:sz="4" w:color="D8D0C4"/>
              <w:right w:val="single" w:sz="4" w:color="D8D0C4"/>
            </w:tcBorders>
          </w:tcPr>
          <w:p>
            <w:r>
              <w:rPr>
                <w:color w:val="1E1E1E"/>
                <w:sz w:val="16"/>
              </w:rPr>
              <w:t>Scope-3-Emissionen, Energiequelle, THG-Intensität</w:t>
            </w:r>
          </w:p>
        </w:tc>
        <w:tc>
          <w:tcPr>
            <w:tcW w:type="dxa" w:w="3600"/>
            <w:vAlign w:val="top"/>
            <w:tcBorders>
              <w:top w:val="single" w:sz="4" w:color="D8D0C4"/>
              <w:left w:val="single" w:sz="4" w:color="D8D0C4"/>
              <w:bottom w:val="single" w:sz="4" w:color="D8D0C4"/>
              <w:right w:val="single" w:sz="4" w:color="D8D0C4"/>
            </w:tcBorders>
          </w:tcPr>
          <w:p>
            <w:r>
              <w:rPr>
                <w:color w:val="1E1E1E"/>
                <w:sz w:val="16"/>
              </w:rPr>
              <w:t>Lieferantenpriorisierung, interne CO2-Preise, Transportwahl</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Ressourcen/Kreislauf</w:t>
            </w:r>
          </w:p>
        </w:tc>
        <w:tc>
          <w:tcPr>
            <w:tcW w:type="dxa" w:w="4320"/>
            <w:vAlign w:val="top"/>
            <w:tcBorders>
              <w:top w:val="single" w:sz="4" w:color="D8D0C4"/>
              <w:left w:val="single" w:sz="4" w:color="D8D0C4"/>
              <w:bottom w:val="single" w:sz="4" w:color="D8D0C4"/>
              <w:right w:val="single" w:sz="4" w:color="D8D0C4"/>
            </w:tcBorders>
          </w:tcPr>
          <w:p>
            <w:r>
              <w:rPr>
                <w:color w:val="1E1E1E"/>
                <w:sz w:val="16"/>
              </w:rPr>
              <w:t>Rezyklatanteil, Materialintensität, Rücknahmefähigkeit</w:t>
            </w:r>
          </w:p>
        </w:tc>
        <w:tc>
          <w:tcPr>
            <w:tcW w:type="dxa" w:w="3600"/>
            <w:vAlign w:val="top"/>
            <w:tcBorders>
              <w:top w:val="single" w:sz="4" w:color="D8D0C4"/>
              <w:left w:val="single" w:sz="4" w:color="D8D0C4"/>
              <w:bottom w:val="single" w:sz="4" w:color="D8D0C4"/>
              <w:right w:val="single" w:sz="4" w:color="D8D0C4"/>
            </w:tcBorders>
          </w:tcPr>
          <w:p>
            <w:r>
              <w:rPr>
                <w:color w:val="1E1E1E"/>
                <w:sz w:val="16"/>
              </w:rPr>
              <w:t>Materialsubstitution, Kreislauflieferanten, Design for Circularity</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Wasser/Biodiversität</w:t>
            </w:r>
          </w:p>
        </w:tc>
        <w:tc>
          <w:tcPr>
            <w:tcW w:type="dxa" w:w="4320"/>
            <w:vAlign w:val="top"/>
            <w:tcBorders>
              <w:top w:val="single" w:sz="4" w:color="D8D0C4"/>
              <w:left w:val="single" w:sz="4" w:color="D8D0C4"/>
              <w:bottom w:val="single" w:sz="4" w:color="D8D0C4"/>
              <w:right w:val="single" w:sz="4" w:color="D8D0C4"/>
            </w:tcBorders>
          </w:tcPr>
          <w:p>
            <w:r>
              <w:rPr>
                <w:color w:val="1E1E1E"/>
                <w:sz w:val="16"/>
              </w:rPr>
              <w:t>Wasserstress, Landnutzung, Entwaldungsfreiheit</w:t>
            </w:r>
          </w:p>
        </w:tc>
        <w:tc>
          <w:tcPr>
            <w:tcW w:type="dxa" w:w="3600"/>
            <w:vAlign w:val="top"/>
            <w:tcBorders>
              <w:top w:val="single" w:sz="4" w:color="D8D0C4"/>
              <w:left w:val="single" w:sz="4" w:color="D8D0C4"/>
              <w:bottom w:val="single" w:sz="4" w:color="D8D0C4"/>
              <w:right w:val="single" w:sz="4" w:color="D8D0C4"/>
            </w:tcBorders>
          </w:tcPr>
          <w:p>
            <w:r>
              <w:rPr>
                <w:color w:val="1E1E1E"/>
                <w:sz w:val="16"/>
              </w:rPr>
              <w:t>Regionale Risikoaufschläge, Ausschlusskriterien, Regenerationspartnerschaften</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Arbeit/Fairness</w:t>
            </w:r>
          </w:p>
        </w:tc>
        <w:tc>
          <w:tcPr>
            <w:tcW w:type="dxa" w:w="4320"/>
            <w:vAlign w:val="top"/>
            <w:tcBorders>
              <w:top w:val="single" w:sz="4" w:color="D8D0C4"/>
              <w:left w:val="single" w:sz="4" w:color="D8D0C4"/>
              <w:bottom w:val="single" w:sz="4" w:color="D8D0C4"/>
              <w:right w:val="single" w:sz="4" w:color="D8D0C4"/>
            </w:tcBorders>
          </w:tcPr>
          <w:p>
            <w:r>
              <w:rPr>
                <w:color w:val="1E1E1E"/>
                <w:sz w:val="16"/>
              </w:rPr>
              <w:t>Living Wage, Arbeitsunfälle, Kinder-/Zwangsarbeit-Ausschluss</w:t>
            </w:r>
          </w:p>
        </w:tc>
        <w:tc>
          <w:tcPr>
            <w:tcW w:type="dxa" w:w="3600"/>
            <w:vAlign w:val="top"/>
            <w:tcBorders>
              <w:top w:val="single" w:sz="4" w:color="D8D0C4"/>
              <w:left w:val="single" w:sz="4" w:color="D8D0C4"/>
              <w:bottom w:val="single" w:sz="4" w:color="D8D0C4"/>
              <w:right w:val="single" w:sz="4" w:color="D8D0C4"/>
            </w:tcBorders>
          </w:tcPr>
          <w:p>
            <w:r>
              <w:rPr>
                <w:color w:val="1E1E1E"/>
                <w:sz w:val="16"/>
              </w:rPr>
              <w:t>Vertragsklauseln, Audit, Lieferantenentwicklung, Exit</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Governance/Daten</w:t>
            </w:r>
          </w:p>
        </w:tc>
        <w:tc>
          <w:tcPr>
            <w:tcW w:type="dxa" w:w="4320"/>
            <w:vAlign w:val="top"/>
            <w:tcBorders>
              <w:top w:val="single" w:sz="4" w:color="D8D0C4"/>
              <w:left w:val="single" w:sz="4" w:color="D8D0C4"/>
              <w:bottom w:val="single" w:sz="4" w:color="D8D0C4"/>
              <w:right w:val="single" w:sz="4" w:color="D8D0C4"/>
            </w:tcBorders>
          </w:tcPr>
          <w:p>
            <w:r>
              <w:rPr>
                <w:color w:val="1E1E1E"/>
                <w:sz w:val="16"/>
              </w:rPr>
              <w:t>Nachweisqualität, Beschwerden, Eigentumsstruktur, Korruptionsrisiko</w:t>
            </w:r>
          </w:p>
        </w:tc>
        <w:tc>
          <w:tcPr>
            <w:tcW w:type="dxa" w:w="3600"/>
            <w:vAlign w:val="top"/>
            <w:tcBorders>
              <w:top w:val="single" w:sz="4" w:color="D8D0C4"/>
              <w:left w:val="single" w:sz="4" w:color="D8D0C4"/>
              <w:bottom w:val="single" w:sz="4" w:color="D8D0C4"/>
              <w:right w:val="single" w:sz="4" w:color="D8D0C4"/>
            </w:tcBorders>
          </w:tcPr>
          <w:p>
            <w:r>
              <w:rPr>
                <w:color w:val="1E1E1E"/>
                <w:sz w:val="16"/>
              </w:rPr>
              <w:t>Datenstatus, Assurance, Vertragsrisiko, Eskalation</w:t>
            </w:r>
          </w:p>
        </w:tc>
      </w:tr>
    </w:tbl>
    <w:p>
      <w:pPr>
        <w:pStyle w:val="Heading1"/>
        <w:spacing w:before="200" w:after="80"/>
      </w:pPr>
      <w:r>
        <w:rPr>
          <w:rFonts w:ascii="Georgia" w:hAnsi="Georgia"/>
          <w:b/>
          <w:color w:val="081020"/>
        </w:rPr>
        <w:t>7. Regulatorische Anschlussstellen heute</w:t>
      </w:r>
    </w:p>
    <w:p>
      <w:pPr>
        <w:spacing w:after="120" w:line="269" w:lineRule="auto"/>
      </w:pPr>
      <w:r>
        <w:t>Wirkungsorientierter Einkauf beginnt nicht bei null. Die heutige Rechts- und Marktlandschaft verlangt bereits mehr Lieferkettentransparenz. Die CSRD/ESRS macht Nachhaltigkeitsdaten berichtspflichtig. Die CSDDD schafft auf EU-Ebene einen Rahmen für unternehmerische Sorgfaltspflichten. Das deutsche Lieferkettensorgfaltspflichtengesetz wirkt bereits als nationale Anschlussstelle. Der ESPR und der digitale Produktpass verschieben Produktdaten weiter in Richtung durchgängiger Nachvollziehbarkeit.</w:t>
      </w:r>
    </w:p>
    <w:p>
      <w:pPr>
        <w:spacing w:after="120" w:line="269" w:lineRule="auto"/>
      </w:pPr>
      <w:r>
        <w:t>Die Wirkungsökonomie ordnet diese Instrumente nicht als isolierte Compliance-Pflichten ein, sondern als Vorstufen einer Rückkopplungsarchitektur. Was heute als Pflicht zur Offenlegung, Sorgfalt oder Dokumentation erscheint, wird in der WÖk zum Entscheidungssignal: im Einkauf, in der Vorsteuerlogik, im Preis, im Kapitalzugang und in der Produktentwicklung.</w:t>
      </w:r>
    </w:p>
    <w:tbl>
      <w:tblPr>
        <w:tblStyle w:val="TableGrid"/>
        <w:tblW w:type="auto" w:w="0"/>
        <w:tblLook w:firstColumn="1" w:firstRow="1" w:lastColumn="0" w:lastRow="0" w:noHBand="0" w:noVBand="1" w:val="04A0"/>
      </w:tblPr>
      <w:tblGrid>
        <w:gridCol w:w="9994"/>
      </w:tblGrid>
      <w:tr>
        <w:tc>
          <w:tcPr>
            <w:tcW w:type="dxa" w:w="9994"/>
            <w:shd w:fill="F8F5EE"/>
            <w:tcBorders>
              <w:top w:val="single" w:sz="6" w:color="C8D8D0"/>
              <w:left w:val="single" w:sz="6" w:color="C8D8D0"/>
              <w:bottom w:val="single" w:sz="6" w:color="C8D8D0"/>
              <w:right w:val="single" w:sz="6" w:color="C8D8D0"/>
            </w:tcBorders>
          </w:tcPr>
          <w:p>
            <w:r>
              <w:rPr>
                <w:b/>
                <w:color w:val="2A7D5C"/>
                <w:sz w:val="19"/>
              </w:rPr>
              <w:t>Einordnung</w:t>
            </w:r>
          </w:p>
          <w:p>
            <w:pPr>
              <w:spacing w:after="60"/>
            </w:pPr>
            <w:r>
              <w:rPr>
                <w:sz w:val="17"/>
              </w:rPr>
              <w:t>CSRD/ESRS liefern Daten.</w:t>
            </w:r>
          </w:p>
          <w:p>
            <w:pPr>
              <w:spacing w:after="60"/>
            </w:pPr>
            <w:r>
              <w:rPr>
                <w:sz w:val="17"/>
              </w:rPr>
              <w:t>CSDDD/LkSG erzeugen Sorgfaltspflichten.</w:t>
            </w:r>
          </w:p>
          <w:p>
            <w:pPr>
              <w:spacing w:after="60"/>
            </w:pPr>
            <w:r>
              <w:rPr>
                <w:sz w:val="17"/>
              </w:rPr>
              <w:t>ESPR/DPP schafft Produktdateninfrastruktur.</w:t>
            </w:r>
          </w:p>
          <w:p>
            <w:pPr>
              <w:spacing w:after="60"/>
            </w:pPr>
            <w:r>
              <w:rPr>
                <w:sz w:val="17"/>
              </w:rPr>
              <w:t>Die Wirkungsökonomie macht daraus Rückkopplung in Einkauf, Preis, Steuer und Kapital.</w:t>
            </w:r>
          </w:p>
        </w:tc>
      </w:tr>
    </w:tbl>
    <w:p/>
    <w:p>
      <w:pPr>
        <w:pStyle w:val="Heading1"/>
        <w:spacing w:before="200" w:after="80"/>
      </w:pPr>
      <w:r>
        <w:rPr>
          <w:rFonts w:ascii="Georgia" w:hAnsi="Georgia"/>
          <w:b/>
          <w:color w:val="081020"/>
        </w:rPr>
        <w:t>8. Beschaffungsmodell: Vom Screening zur Transformationspartnerschaft</w:t>
      </w:r>
    </w:p>
    <w:p>
      <w:pPr>
        <w:spacing w:after="120" w:line="269" w:lineRule="auto"/>
      </w:pPr>
      <w:r>
        <w:t>Ein wirkungsorientiertes Beschaffungsmodell sollte nicht nur gute und schlechte Lieferanten sortieren. Es muss unterscheiden zwischen Ausschlussrisiken, Übergangsrisiken, Verbesserungsfähigkeit und strategischer Transformationsfähigkeit.</w:t>
      </w:r>
    </w:p>
    <w:tbl>
      <w:tblPr>
        <w:tblStyle w:val="TableGrid"/>
        <w:tblW w:type="auto" w:w="0"/>
        <w:jc w:val="center"/>
        <w:tblLook w:firstColumn="1" w:firstRow="1" w:lastColumn="0" w:lastRow="0" w:noHBand="0" w:noVBand="1" w:val="04A0"/>
      </w:tblPr>
      <w:tblGrid>
        <w:gridCol w:w="3331"/>
        <w:gridCol w:w="3331"/>
        <w:gridCol w:w="3331"/>
      </w:tblGrid>
      <w:tr>
        <w:trPr>
          <w:tblHeader w:val="true"/>
        </w:trPr>
        <w:tc>
          <w:tcPr>
            <w:tcW w:type="dxa" w:w="1584"/>
            <w:shd w:fill="EDE6D9"/>
            <w:vAlign w:val="center"/>
            <w:tcBorders>
              <w:top w:val="single" w:sz="4" w:color="D8D0C4"/>
              <w:left w:val="single" w:sz="4" w:color="D8D0C4"/>
              <w:bottom w:val="single" w:sz="4" w:color="D8D0C4"/>
              <w:right w:val="single" w:sz="4" w:color="D8D0C4"/>
            </w:tcBorders>
          </w:tcPr>
          <w:p>
            <w:r>
              <w:rPr>
                <w:b/>
                <w:color w:val="081020"/>
                <w:sz w:val="17"/>
              </w:rPr>
              <w:t>Stufe</w:t>
            </w:r>
          </w:p>
        </w:tc>
        <w:tc>
          <w:tcPr>
            <w:tcW w:type="dxa" w:w="4608"/>
            <w:shd w:fill="EDE6D9"/>
            <w:vAlign w:val="center"/>
            <w:tcBorders>
              <w:top w:val="single" w:sz="4" w:color="D8D0C4"/>
              <w:left w:val="single" w:sz="4" w:color="D8D0C4"/>
              <w:bottom w:val="single" w:sz="4" w:color="D8D0C4"/>
              <w:right w:val="single" w:sz="4" w:color="D8D0C4"/>
            </w:tcBorders>
          </w:tcPr>
          <w:p>
            <w:r>
              <w:rPr>
                <w:b/>
                <w:color w:val="081020"/>
                <w:sz w:val="17"/>
              </w:rPr>
              <w:t>Beschreibung</w:t>
            </w:r>
          </w:p>
        </w:tc>
        <w:tc>
          <w:tcPr>
            <w:tcW w:type="dxa" w:w="3600"/>
            <w:shd w:fill="EDE6D9"/>
            <w:vAlign w:val="center"/>
            <w:tcBorders>
              <w:top w:val="single" w:sz="4" w:color="D8D0C4"/>
              <w:left w:val="single" w:sz="4" w:color="D8D0C4"/>
              <w:bottom w:val="single" w:sz="4" w:color="D8D0C4"/>
              <w:right w:val="single" w:sz="4" w:color="D8D0C4"/>
            </w:tcBorders>
          </w:tcPr>
          <w:p>
            <w:r>
              <w:rPr>
                <w:b/>
                <w:color w:val="081020"/>
                <w:sz w:val="17"/>
              </w:rPr>
              <w:t>Konsequenz</w:t>
            </w:r>
          </w:p>
        </w:tc>
      </w:tr>
      <w:tr>
        <w:tc>
          <w:tcPr>
            <w:tcW w:type="dxa" w:w="1584"/>
            <w:vAlign w:val="top"/>
            <w:tcBorders>
              <w:top w:val="single" w:sz="4" w:color="D8D0C4"/>
              <w:left w:val="single" w:sz="4" w:color="D8D0C4"/>
              <w:bottom w:val="single" w:sz="4" w:color="D8D0C4"/>
              <w:right w:val="single" w:sz="4" w:color="D8D0C4"/>
            </w:tcBorders>
          </w:tcPr>
          <w:p>
            <w:r>
              <w:rPr>
                <w:color w:val="1E1E1E"/>
                <w:sz w:val="16"/>
              </w:rPr>
              <w:t>0 - Daten fehlen</w:t>
            </w:r>
          </w:p>
        </w:tc>
        <w:tc>
          <w:tcPr>
            <w:tcW w:type="dxa" w:w="4608"/>
            <w:vAlign w:val="top"/>
            <w:tcBorders>
              <w:top w:val="single" w:sz="4" w:color="D8D0C4"/>
              <w:left w:val="single" w:sz="4" w:color="D8D0C4"/>
              <w:bottom w:val="single" w:sz="4" w:color="D8D0C4"/>
              <w:right w:val="single" w:sz="4" w:color="D8D0C4"/>
            </w:tcBorders>
          </w:tcPr>
          <w:p>
            <w:r>
              <w:rPr>
                <w:color w:val="1E1E1E"/>
                <w:sz w:val="16"/>
              </w:rPr>
              <w:t>Lieferant liefert keine belastbaren Mindestdaten</w:t>
            </w:r>
          </w:p>
        </w:tc>
        <w:tc>
          <w:tcPr>
            <w:tcW w:type="dxa" w:w="3600"/>
            <w:vAlign w:val="top"/>
            <w:tcBorders>
              <w:top w:val="single" w:sz="4" w:color="D8D0C4"/>
              <w:left w:val="single" w:sz="4" w:color="D8D0C4"/>
              <w:bottom w:val="single" w:sz="4" w:color="D8D0C4"/>
              <w:right w:val="single" w:sz="4" w:color="D8D0C4"/>
            </w:tcBorders>
          </w:tcPr>
          <w:p>
            <w:r>
              <w:rPr>
                <w:color w:val="1E1E1E"/>
                <w:sz w:val="16"/>
              </w:rPr>
              <w:t>konservative Einstufung, Datenplan, keine strategische Bevorzugung</w:t>
            </w:r>
          </w:p>
        </w:tc>
      </w:tr>
      <w:tr>
        <w:tc>
          <w:tcPr>
            <w:tcW w:type="dxa" w:w="1584"/>
            <w:vAlign w:val="top"/>
            <w:tcBorders>
              <w:top w:val="single" w:sz="4" w:color="D8D0C4"/>
              <w:left w:val="single" w:sz="4" w:color="D8D0C4"/>
              <w:bottom w:val="single" w:sz="4" w:color="D8D0C4"/>
              <w:right w:val="single" w:sz="4" w:color="D8D0C4"/>
            </w:tcBorders>
          </w:tcPr>
          <w:p>
            <w:r>
              <w:rPr>
                <w:color w:val="1E1E1E"/>
                <w:sz w:val="16"/>
              </w:rPr>
              <w:t>1 - Mindeststandard</w:t>
            </w:r>
          </w:p>
        </w:tc>
        <w:tc>
          <w:tcPr>
            <w:tcW w:type="dxa" w:w="4608"/>
            <w:vAlign w:val="top"/>
            <w:tcBorders>
              <w:top w:val="single" w:sz="4" w:color="D8D0C4"/>
              <w:left w:val="single" w:sz="4" w:color="D8D0C4"/>
              <w:bottom w:val="single" w:sz="4" w:color="D8D0C4"/>
              <w:right w:val="single" w:sz="4" w:color="D8D0C4"/>
            </w:tcBorders>
          </w:tcPr>
          <w:p>
            <w:r>
              <w:rPr>
                <w:color w:val="1E1E1E"/>
                <w:sz w:val="16"/>
              </w:rPr>
              <w:t>Rechtliche und soziale Mindestanforderungen erfüllt</w:t>
            </w:r>
          </w:p>
        </w:tc>
        <w:tc>
          <w:tcPr>
            <w:tcW w:type="dxa" w:w="3600"/>
            <w:vAlign w:val="top"/>
            <w:tcBorders>
              <w:top w:val="single" w:sz="4" w:color="D8D0C4"/>
              <w:left w:val="single" w:sz="4" w:color="D8D0C4"/>
              <w:bottom w:val="single" w:sz="4" w:color="D8D0C4"/>
              <w:right w:val="single" w:sz="4" w:color="D8D0C4"/>
            </w:tcBorders>
          </w:tcPr>
          <w:p>
            <w:r>
              <w:rPr>
                <w:color w:val="1E1E1E"/>
                <w:sz w:val="16"/>
              </w:rPr>
              <w:t>zugelassen, aber kein Wirkungsbonus</w:t>
            </w:r>
          </w:p>
        </w:tc>
      </w:tr>
      <w:tr>
        <w:tc>
          <w:tcPr>
            <w:tcW w:type="dxa" w:w="1584"/>
            <w:vAlign w:val="top"/>
            <w:tcBorders>
              <w:top w:val="single" w:sz="4" w:color="D8D0C4"/>
              <w:left w:val="single" w:sz="4" w:color="D8D0C4"/>
              <w:bottom w:val="single" w:sz="4" w:color="D8D0C4"/>
              <w:right w:val="single" w:sz="4" w:color="D8D0C4"/>
            </w:tcBorders>
          </w:tcPr>
          <w:p>
            <w:r>
              <w:rPr>
                <w:color w:val="1E1E1E"/>
                <w:sz w:val="16"/>
              </w:rPr>
              <w:t>2 - Verbesserungsfähig</w:t>
            </w:r>
          </w:p>
        </w:tc>
        <w:tc>
          <w:tcPr>
            <w:tcW w:type="dxa" w:w="4608"/>
            <w:vAlign w:val="top"/>
            <w:tcBorders>
              <w:top w:val="single" w:sz="4" w:color="D8D0C4"/>
              <w:left w:val="single" w:sz="4" w:color="D8D0C4"/>
              <w:bottom w:val="single" w:sz="4" w:color="D8D0C4"/>
              <w:right w:val="single" w:sz="4" w:color="D8D0C4"/>
            </w:tcBorders>
          </w:tcPr>
          <w:p>
            <w:r>
              <w:rPr>
                <w:color w:val="1E1E1E"/>
                <w:sz w:val="16"/>
              </w:rPr>
              <w:t>Defizite vorhanden, aber nachvollziehbarer Verbesserungsplan</w:t>
            </w:r>
          </w:p>
        </w:tc>
        <w:tc>
          <w:tcPr>
            <w:tcW w:type="dxa" w:w="3600"/>
            <w:vAlign w:val="top"/>
            <w:tcBorders>
              <w:top w:val="single" w:sz="4" w:color="D8D0C4"/>
              <w:left w:val="single" w:sz="4" w:color="D8D0C4"/>
              <w:bottom w:val="single" w:sz="4" w:color="D8D0C4"/>
              <w:right w:val="single" w:sz="4" w:color="D8D0C4"/>
            </w:tcBorders>
          </w:tcPr>
          <w:p>
            <w:r>
              <w:rPr>
                <w:color w:val="1E1E1E"/>
                <w:sz w:val="16"/>
              </w:rPr>
              <w:t>Lieferantenentwicklung, Meilensteine, befristete Verträge</w:t>
            </w:r>
          </w:p>
        </w:tc>
      </w:tr>
      <w:tr>
        <w:tc>
          <w:tcPr>
            <w:tcW w:type="dxa" w:w="1584"/>
            <w:vAlign w:val="top"/>
            <w:tcBorders>
              <w:top w:val="single" w:sz="4" w:color="D8D0C4"/>
              <w:left w:val="single" w:sz="4" w:color="D8D0C4"/>
              <w:bottom w:val="single" w:sz="4" w:color="D8D0C4"/>
              <w:right w:val="single" w:sz="4" w:color="D8D0C4"/>
            </w:tcBorders>
          </w:tcPr>
          <w:p>
            <w:r>
              <w:rPr>
                <w:color w:val="1E1E1E"/>
                <w:sz w:val="16"/>
              </w:rPr>
              <w:t>3 - Wirkungsstark</w:t>
            </w:r>
          </w:p>
        </w:tc>
        <w:tc>
          <w:tcPr>
            <w:tcW w:type="dxa" w:w="4608"/>
            <w:vAlign w:val="top"/>
            <w:tcBorders>
              <w:top w:val="single" w:sz="4" w:color="D8D0C4"/>
              <w:left w:val="single" w:sz="4" w:color="D8D0C4"/>
              <w:bottom w:val="single" w:sz="4" w:color="D8D0C4"/>
              <w:right w:val="single" w:sz="4" w:color="D8D0C4"/>
            </w:tcBorders>
          </w:tcPr>
          <w:p>
            <w:r>
              <w:rPr>
                <w:color w:val="1E1E1E"/>
                <w:sz w:val="16"/>
              </w:rPr>
              <w:t>Positive Daten in zentralen Feldern</w:t>
            </w:r>
          </w:p>
        </w:tc>
        <w:tc>
          <w:tcPr>
            <w:tcW w:type="dxa" w:w="3600"/>
            <w:vAlign w:val="top"/>
            <w:tcBorders>
              <w:top w:val="single" w:sz="4" w:color="D8D0C4"/>
              <w:left w:val="single" w:sz="4" w:color="D8D0C4"/>
              <w:bottom w:val="single" w:sz="4" w:color="D8D0C4"/>
              <w:right w:val="single" w:sz="4" w:color="D8D0C4"/>
            </w:tcBorders>
          </w:tcPr>
          <w:p>
            <w:r>
              <w:rPr>
                <w:color w:val="1E1E1E"/>
                <w:sz w:val="16"/>
              </w:rPr>
              <w:t>bevorzugter Lieferant, bessere Konditionen, langfristige Partnerschaft</w:t>
            </w:r>
          </w:p>
        </w:tc>
      </w:tr>
      <w:tr>
        <w:tc>
          <w:tcPr>
            <w:tcW w:type="dxa" w:w="1584"/>
            <w:vAlign w:val="top"/>
            <w:tcBorders>
              <w:top w:val="single" w:sz="4" w:color="D8D0C4"/>
              <w:left w:val="single" w:sz="4" w:color="D8D0C4"/>
              <w:bottom w:val="single" w:sz="4" w:color="D8D0C4"/>
              <w:right w:val="single" w:sz="4" w:color="D8D0C4"/>
            </w:tcBorders>
          </w:tcPr>
          <w:p>
            <w:r>
              <w:rPr>
                <w:color w:val="1E1E1E"/>
                <w:sz w:val="16"/>
              </w:rPr>
              <w:t>4 - Transformativ</w:t>
            </w:r>
          </w:p>
        </w:tc>
        <w:tc>
          <w:tcPr>
            <w:tcW w:type="dxa" w:w="4608"/>
            <w:vAlign w:val="top"/>
            <w:tcBorders>
              <w:top w:val="single" w:sz="4" w:color="D8D0C4"/>
              <w:left w:val="single" w:sz="4" w:color="D8D0C4"/>
              <w:bottom w:val="single" w:sz="4" w:color="D8D0C4"/>
              <w:right w:val="single" w:sz="4" w:color="D8D0C4"/>
            </w:tcBorders>
          </w:tcPr>
          <w:p>
            <w:r>
              <w:rPr>
                <w:color w:val="1E1E1E"/>
                <w:sz w:val="16"/>
              </w:rPr>
              <w:t>Lieferant verändert Marktstandard oder Materialpfad</w:t>
            </w:r>
          </w:p>
        </w:tc>
        <w:tc>
          <w:tcPr>
            <w:tcW w:type="dxa" w:w="3600"/>
            <w:vAlign w:val="top"/>
            <w:tcBorders>
              <w:top w:val="single" w:sz="4" w:color="D8D0C4"/>
              <w:left w:val="single" w:sz="4" w:color="D8D0C4"/>
              <w:bottom w:val="single" w:sz="4" w:color="D8D0C4"/>
              <w:right w:val="single" w:sz="4" w:color="D8D0C4"/>
            </w:tcBorders>
          </w:tcPr>
          <w:p>
            <w:r>
              <w:rPr>
                <w:color w:val="1E1E1E"/>
                <w:sz w:val="16"/>
              </w:rPr>
              <w:t>strategische Partnerschaft, gemeinsame Innovation, T-SROI-Prüfung</w:t>
            </w:r>
          </w:p>
        </w:tc>
      </w:tr>
      <w:tr>
        <w:tc>
          <w:tcPr>
            <w:tcW w:type="dxa" w:w="1584"/>
            <w:vAlign w:val="top"/>
            <w:tcBorders>
              <w:top w:val="single" w:sz="4" w:color="D8D0C4"/>
              <w:left w:val="single" w:sz="4" w:color="D8D0C4"/>
              <w:bottom w:val="single" w:sz="4" w:color="D8D0C4"/>
              <w:right w:val="single" w:sz="4" w:color="D8D0C4"/>
            </w:tcBorders>
          </w:tcPr>
          <w:p>
            <w:r>
              <w:rPr>
                <w:color w:val="1E1E1E"/>
                <w:sz w:val="16"/>
              </w:rPr>
              <w:t>Rot - Nicht tragfähig</w:t>
            </w:r>
          </w:p>
        </w:tc>
        <w:tc>
          <w:tcPr>
            <w:tcW w:type="dxa" w:w="4608"/>
            <w:vAlign w:val="top"/>
            <w:tcBorders>
              <w:top w:val="single" w:sz="4" w:color="D8D0C4"/>
              <w:left w:val="single" w:sz="4" w:color="D8D0C4"/>
              <w:bottom w:val="single" w:sz="4" w:color="D8D0C4"/>
              <w:right w:val="single" w:sz="4" w:color="D8D0C4"/>
            </w:tcBorders>
          </w:tcPr>
          <w:p>
            <w:r>
              <w:rPr>
                <w:color w:val="1E1E1E"/>
                <w:sz w:val="16"/>
              </w:rPr>
              <w:t>schwere negative Wirkung oder Verweigerung von Abhilfe</w:t>
            </w:r>
          </w:p>
        </w:tc>
        <w:tc>
          <w:tcPr>
            <w:tcW w:type="dxa" w:w="3600"/>
            <w:vAlign w:val="top"/>
            <w:tcBorders>
              <w:top w:val="single" w:sz="4" w:color="D8D0C4"/>
              <w:left w:val="single" w:sz="4" w:color="D8D0C4"/>
              <w:bottom w:val="single" w:sz="4" w:color="D8D0C4"/>
              <w:right w:val="single" w:sz="4" w:color="D8D0C4"/>
            </w:tcBorders>
          </w:tcPr>
          <w:p>
            <w:r>
              <w:rPr>
                <w:color w:val="1E1E1E"/>
                <w:sz w:val="16"/>
              </w:rPr>
              <w:t>Exit, Ersatzlieferant, Eskalation</w:t>
            </w:r>
          </w:p>
        </w:tc>
      </w:tr>
    </w:tbl>
    <w:p>
      <w:pPr>
        <w:pStyle w:val="Heading1"/>
        <w:spacing w:before="200" w:after="80"/>
      </w:pPr>
      <w:r>
        <w:rPr>
          <w:rFonts w:ascii="Georgia" w:hAnsi="Georgia"/>
          <w:b/>
          <w:color w:val="081020"/>
        </w:rPr>
        <w:t>9. Vertrags-, Bonus- und Vorsteuerlogik</w:t>
      </w:r>
    </w:p>
    <w:p>
      <w:pPr>
        <w:spacing w:after="120" w:line="269" w:lineRule="auto"/>
      </w:pPr>
      <w:r>
        <w:t>Damit wirkungsorientierter Einkauf nicht bei Absichtserklärungen stehen bleibt, muss Wirkung in Verträge, Preise, Zahlungsbedingungen und Lieferantensteuerung übersetzt werden. Die WÖk kann hier Bonuslogiken mit harten Mindestbedingungen verbinden.</w:t>
      </w:r>
    </w:p>
    <w:p>
      <w:pPr>
        <w:spacing w:after="120" w:line="269" w:lineRule="auto"/>
      </w:pPr>
      <w:r>
        <w:t>Eine reine Straflogik wäre falsch, weil sie Lieferanten in schwierigen Regionen aus dem Markt drängen kann. Eine reine Bonuslogik wäre ebenfalls falsch, weil sie schwere Schäden unsichtbar lässt. Entscheidend ist eine differenzierte Rückkopplung: rote Linien, Verbesserungsfristen, technische Unterstützung, faire Preisbildung und klare Konsequenzen.</w:t>
      </w:r>
    </w:p>
    <w:p>
      <w:pPr>
        <w:spacing w:after="40"/>
        <w:ind w:left="317" w:hanging="173"/>
      </w:pPr>
      <w:r>
        <w:rPr>
          <w:color w:val="2A7D5C"/>
        </w:rPr>
        <w:t xml:space="preserve">• </w:t>
      </w:r>
      <w:r>
        <w:t>Vertragsklauseln zu Datenqualität, Auditierbarkeit und Abhilfepflichten.</w:t>
      </w:r>
    </w:p>
    <w:p>
      <w:pPr>
        <w:spacing w:after="40"/>
        <w:ind w:left="317" w:hanging="173"/>
      </w:pPr>
      <w:r>
        <w:rPr>
          <w:color w:val="2A7D5C"/>
        </w:rPr>
        <w:t xml:space="preserve">• </w:t>
      </w:r>
      <w:r>
        <w:t>Preis- oder Mengenbonus bei nachweisbarer positiver Netto-Wirkung.</w:t>
      </w:r>
    </w:p>
    <w:p>
      <w:pPr>
        <w:spacing w:after="40"/>
        <w:ind w:left="317" w:hanging="173"/>
      </w:pPr>
      <w:r>
        <w:rPr>
          <w:color w:val="2A7D5C"/>
        </w:rPr>
        <w:t xml:space="preserve">• </w:t>
      </w:r>
      <w:r>
        <w:t>Malus oder Nichtbevorzugung bei wiederholter Datenverweigerung.</w:t>
      </w:r>
    </w:p>
    <w:p>
      <w:pPr>
        <w:spacing w:after="40"/>
        <w:ind w:left="317" w:hanging="173"/>
      </w:pPr>
      <w:r>
        <w:rPr>
          <w:color w:val="2A7D5C"/>
        </w:rPr>
        <w:t xml:space="preserve">• </w:t>
      </w:r>
      <w:r>
        <w:t>Vorsteuer-/WUStG-Logik für positive Vorleistungen als langfristiger Systemhebel.</w:t>
      </w:r>
    </w:p>
    <w:p>
      <w:pPr>
        <w:spacing w:after="40"/>
        <w:ind w:left="317" w:hanging="173"/>
      </w:pPr>
      <w:r>
        <w:rPr>
          <w:color w:val="2A7D5C"/>
        </w:rPr>
        <w:t xml:space="preserve">• </w:t>
      </w:r>
      <w:r>
        <w:t>Gemeinsame Investitionsprogramme für Lieferanten, die Transformationspfade glaubhaft nachweisen.</w:t>
      </w:r>
    </w:p>
    <w:p>
      <w:pPr>
        <w:pStyle w:val="Heading1"/>
        <w:spacing w:before="200" w:after="80"/>
      </w:pPr>
      <w:r>
        <w:rPr>
          <w:rFonts w:ascii="Georgia" w:hAnsi="Georgia"/>
          <w:b/>
          <w:color w:val="081020"/>
        </w:rPr>
        <w:t>10. Resilienz: Versorgung, Klima, Geopolitik, Menschenrechte und Daten</w:t>
      </w:r>
    </w:p>
    <w:p>
      <w:pPr>
        <w:spacing w:after="120" w:line="269" w:lineRule="auto"/>
      </w:pPr>
      <w:r>
        <w:t>Resilienz bedeutet in der Wirkungsökonomie nicht nur, dass ein Unternehmen im Krisenfall weiterliefern kann. Ein Unternehmen kann kurzfristig lieferfähig sein und langfristig Systemrisiken vergrößern. Resilienz umfasst deshalb Versorgung, Rechte, Umwelt, Daten, Kapitalzugang, Versicherbarkeit und politische Stabilität.</w:t>
      </w:r>
    </w:p>
    <w:tbl>
      <w:tblPr>
        <w:tblStyle w:val="TableGrid"/>
        <w:tblW w:type="auto" w:w="0"/>
        <w:jc w:val="center"/>
        <w:tblLook w:firstColumn="1" w:firstRow="1" w:lastColumn="0" w:lastRow="0" w:noHBand="0" w:noVBand="1" w:val="04A0"/>
      </w:tblPr>
      <w:tblGrid>
        <w:gridCol w:w="3331"/>
        <w:gridCol w:w="3331"/>
        <w:gridCol w:w="3331"/>
      </w:tblGrid>
      <w:tr>
        <w:trPr>
          <w:tblHeader w:val="true"/>
        </w:trPr>
        <w:tc>
          <w:tcPr>
            <w:tcW w:type="dxa" w:w="2160"/>
            <w:shd w:fill="EDE6D9"/>
            <w:vAlign w:val="center"/>
            <w:tcBorders>
              <w:top w:val="single" w:sz="4" w:color="D8D0C4"/>
              <w:left w:val="single" w:sz="4" w:color="D8D0C4"/>
              <w:bottom w:val="single" w:sz="4" w:color="D8D0C4"/>
              <w:right w:val="single" w:sz="4" w:color="D8D0C4"/>
            </w:tcBorders>
          </w:tcPr>
          <w:p>
            <w:r>
              <w:rPr>
                <w:b/>
                <w:color w:val="081020"/>
                <w:sz w:val="17"/>
              </w:rPr>
              <w:t>Resilienzdimension</w:t>
            </w:r>
          </w:p>
        </w:tc>
        <w:tc>
          <w:tcPr>
            <w:tcW w:type="dxa" w:w="4176"/>
            <w:shd w:fill="EDE6D9"/>
            <w:vAlign w:val="center"/>
            <w:tcBorders>
              <w:top w:val="single" w:sz="4" w:color="D8D0C4"/>
              <w:left w:val="single" w:sz="4" w:color="D8D0C4"/>
              <w:bottom w:val="single" w:sz="4" w:color="D8D0C4"/>
              <w:right w:val="single" w:sz="4" w:color="D8D0C4"/>
            </w:tcBorders>
          </w:tcPr>
          <w:p>
            <w:r>
              <w:rPr>
                <w:b/>
                <w:color w:val="081020"/>
                <w:sz w:val="17"/>
              </w:rPr>
              <w:t>Risiko im alten System</w:t>
            </w:r>
          </w:p>
        </w:tc>
        <w:tc>
          <w:tcPr>
            <w:tcW w:type="dxa" w:w="4320"/>
            <w:shd w:fill="EDE6D9"/>
            <w:vAlign w:val="center"/>
            <w:tcBorders>
              <w:top w:val="single" w:sz="4" w:color="D8D0C4"/>
              <w:left w:val="single" w:sz="4" w:color="D8D0C4"/>
              <w:bottom w:val="single" w:sz="4" w:color="D8D0C4"/>
              <w:right w:val="single" w:sz="4" w:color="D8D0C4"/>
            </w:tcBorders>
          </w:tcPr>
          <w:p>
            <w:r>
              <w:rPr>
                <w:b/>
                <w:color w:val="081020"/>
                <w:sz w:val="17"/>
              </w:rPr>
              <w:t>Wirkungsökonomischer Hebel</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Versorgung</w:t>
            </w:r>
          </w:p>
        </w:tc>
        <w:tc>
          <w:tcPr>
            <w:tcW w:type="dxa" w:w="4176"/>
            <w:vAlign w:val="top"/>
            <w:tcBorders>
              <w:top w:val="single" w:sz="4" w:color="D8D0C4"/>
              <w:left w:val="single" w:sz="4" w:color="D8D0C4"/>
              <w:bottom w:val="single" w:sz="4" w:color="D8D0C4"/>
              <w:right w:val="single" w:sz="4" w:color="D8D0C4"/>
            </w:tcBorders>
          </w:tcPr>
          <w:p>
            <w:r>
              <w:rPr>
                <w:color w:val="1E1E1E"/>
                <w:sz w:val="16"/>
              </w:rPr>
              <w:t>Single Sourcing, Lagerabbau, fragile Logistik</w:t>
            </w:r>
          </w:p>
        </w:tc>
        <w:tc>
          <w:tcPr>
            <w:tcW w:type="dxa" w:w="4320"/>
            <w:vAlign w:val="top"/>
            <w:tcBorders>
              <w:top w:val="single" w:sz="4" w:color="D8D0C4"/>
              <w:left w:val="single" w:sz="4" w:color="D8D0C4"/>
              <w:bottom w:val="single" w:sz="4" w:color="D8D0C4"/>
              <w:right w:val="single" w:sz="4" w:color="D8D0C4"/>
            </w:tcBorders>
          </w:tcPr>
          <w:p>
            <w:r>
              <w:rPr>
                <w:color w:val="1E1E1E"/>
                <w:sz w:val="16"/>
              </w:rPr>
              <w:t>Diversifikation, strategische Reserven, Lieferantenportfolio</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Klima</w:t>
            </w:r>
          </w:p>
        </w:tc>
        <w:tc>
          <w:tcPr>
            <w:tcW w:type="dxa" w:w="4176"/>
            <w:vAlign w:val="top"/>
            <w:tcBorders>
              <w:top w:val="single" w:sz="4" w:color="D8D0C4"/>
              <w:left w:val="single" w:sz="4" w:color="D8D0C4"/>
              <w:bottom w:val="single" w:sz="4" w:color="D8D0C4"/>
              <w:right w:val="single" w:sz="4" w:color="D8D0C4"/>
            </w:tcBorders>
          </w:tcPr>
          <w:p>
            <w:r>
              <w:rPr>
                <w:color w:val="1E1E1E"/>
                <w:sz w:val="16"/>
              </w:rPr>
              <w:t>physische Schäden, Übergangsrisiken, CO2-Kosten</w:t>
            </w:r>
          </w:p>
        </w:tc>
        <w:tc>
          <w:tcPr>
            <w:tcW w:type="dxa" w:w="4320"/>
            <w:vAlign w:val="top"/>
            <w:tcBorders>
              <w:top w:val="single" w:sz="4" w:color="D8D0C4"/>
              <w:left w:val="single" w:sz="4" w:color="D8D0C4"/>
              <w:bottom w:val="single" w:sz="4" w:color="D8D0C4"/>
              <w:right w:val="single" w:sz="4" w:color="D8D0C4"/>
            </w:tcBorders>
          </w:tcPr>
          <w:p>
            <w:r>
              <w:rPr>
                <w:color w:val="1E1E1E"/>
                <w:sz w:val="16"/>
              </w:rPr>
              <w:t>Klimarisiko-Score, Transformationspfade, interne CO2-Preise</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Menschenrechte</w:t>
            </w:r>
          </w:p>
        </w:tc>
        <w:tc>
          <w:tcPr>
            <w:tcW w:type="dxa" w:w="4176"/>
            <w:vAlign w:val="top"/>
            <w:tcBorders>
              <w:top w:val="single" w:sz="4" w:color="D8D0C4"/>
              <w:left w:val="single" w:sz="4" w:color="D8D0C4"/>
              <w:bottom w:val="single" w:sz="4" w:color="D8D0C4"/>
              <w:right w:val="single" w:sz="4" w:color="D8D0C4"/>
            </w:tcBorders>
          </w:tcPr>
          <w:p>
            <w:r>
              <w:rPr>
                <w:color w:val="1E1E1E"/>
                <w:sz w:val="16"/>
              </w:rPr>
              <w:t>Kinderarbeit, Zwangsarbeit, fehlende Abhilfe</w:t>
            </w:r>
          </w:p>
        </w:tc>
        <w:tc>
          <w:tcPr>
            <w:tcW w:type="dxa" w:w="4320"/>
            <w:vAlign w:val="top"/>
            <w:tcBorders>
              <w:top w:val="single" w:sz="4" w:color="D8D0C4"/>
              <w:left w:val="single" w:sz="4" w:color="D8D0C4"/>
              <w:bottom w:val="single" w:sz="4" w:color="D8D0C4"/>
              <w:right w:val="single" w:sz="4" w:color="D8D0C4"/>
            </w:tcBorders>
          </w:tcPr>
          <w:p>
            <w:r>
              <w:rPr>
                <w:color w:val="1E1E1E"/>
                <w:sz w:val="16"/>
              </w:rPr>
              <w:t>Sorgfaltspflichten, Beschwerdekanäle, rote Linien</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Geopolitik</w:t>
            </w:r>
          </w:p>
        </w:tc>
        <w:tc>
          <w:tcPr>
            <w:tcW w:type="dxa" w:w="4176"/>
            <w:vAlign w:val="top"/>
            <w:tcBorders>
              <w:top w:val="single" w:sz="4" w:color="D8D0C4"/>
              <w:left w:val="single" w:sz="4" w:color="D8D0C4"/>
              <w:bottom w:val="single" w:sz="4" w:color="D8D0C4"/>
              <w:right w:val="single" w:sz="4" w:color="D8D0C4"/>
            </w:tcBorders>
          </w:tcPr>
          <w:p>
            <w:r>
              <w:rPr>
                <w:color w:val="1E1E1E"/>
                <w:sz w:val="16"/>
              </w:rPr>
              <w:t>Sanktionsrisiken, autoritäre Abhängigkeiten, Rohstoffmacht</w:t>
            </w:r>
          </w:p>
        </w:tc>
        <w:tc>
          <w:tcPr>
            <w:tcW w:type="dxa" w:w="4320"/>
            <w:vAlign w:val="top"/>
            <w:tcBorders>
              <w:top w:val="single" w:sz="4" w:color="D8D0C4"/>
              <w:left w:val="single" w:sz="4" w:color="D8D0C4"/>
              <w:bottom w:val="single" w:sz="4" w:color="D8D0C4"/>
              <w:right w:val="single" w:sz="4" w:color="D8D0C4"/>
            </w:tcBorders>
          </w:tcPr>
          <w:p>
            <w:r>
              <w:rPr>
                <w:color w:val="1E1E1E"/>
                <w:sz w:val="16"/>
              </w:rPr>
              <w:t>kritische-Materialien-Check, regionale Alternativen</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Daten</w:t>
            </w:r>
          </w:p>
        </w:tc>
        <w:tc>
          <w:tcPr>
            <w:tcW w:type="dxa" w:w="4176"/>
            <w:vAlign w:val="top"/>
            <w:tcBorders>
              <w:top w:val="single" w:sz="4" w:color="D8D0C4"/>
              <w:left w:val="single" w:sz="4" w:color="D8D0C4"/>
              <w:bottom w:val="single" w:sz="4" w:color="D8D0C4"/>
              <w:right w:val="single" w:sz="4" w:color="D8D0C4"/>
            </w:tcBorders>
          </w:tcPr>
          <w:p>
            <w:r>
              <w:rPr>
                <w:color w:val="1E1E1E"/>
                <w:sz w:val="16"/>
              </w:rPr>
              <w:t>unvollständige Nachweise, Lieferantenselbstauskünfte</w:t>
            </w:r>
          </w:p>
        </w:tc>
        <w:tc>
          <w:tcPr>
            <w:tcW w:type="dxa" w:w="4320"/>
            <w:vAlign w:val="top"/>
            <w:tcBorders>
              <w:top w:val="single" w:sz="4" w:color="D8D0C4"/>
              <w:left w:val="single" w:sz="4" w:color="D8D0C4"/>
              <w:bottom w:val="single" w:sz="4" w:color="D8D0C4"/>
              <w:right w:val="single" w:sz="4" w:color="D8D0C4"/>
            </w:tcBorders>
          </w:tcPr>
          <w:p>
            <w:r>
              <w:rPr>
                <w:color w:val="1E1E1E"/>
                <w:sz w:val="16"/>
              </w:rPr>
              <w:t>DPP, Audit, XBRL, Datenqualitätsstufen</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Finanzierung</w:t>
            </w:r>
          </w:p>
        </w:tc>
        <w:tc>
          <w:tcPr>
            <w:tcW w:type="dxa" w:w="4176"/>
            <w:vAlign w:val="top"/>
            <w:tcBorders>
              <w:top w:val="single" w:sz="4" w:color="D8D0C4"/>
              <w:left w:val="single" w:sz="4" w:color="D8D0C4"/>
              <w:bottom w:val="single" w:sz="4" w:color="D8D0C4"/>
              <w:right w:val="single" w:sz="4" w:color="D8D0C4"/>
            </w:tcBorders>
          </w:tcPr>
          <w:p>
            <w:r>
              <w:rPr>
                <w:color w:val="1E1E1E"/>
                <w:sz w:val="16"/>
              </w:rPr>
              <w:t>Banken/Versicherer werten Lieferkettenrisiken ein</w:t>
            </w:r>
          </w:p>
        </w:tc>
        <w:tc>
          <w:tcPr>
            <w:tcW w:type="dxa" w:w="4320"/>
            <w:vAlign w:val="top"/>
            <w:tcBorders>
              <w:top w:val="single" w:sz="4" w:color="D8D0C4"/>
              <w:left w:val="single" w:sz="4" w:color="D8D0C4"/>
              <w:bottom w:val="single" w:sz="4" w:color="D8D0C4"/>
              <w:right w:val="single" w:sz="4" w:color="D8D0C4"/>
            </w:tcBorders>
          </w:tcPr>
          <w:p>
            <w:r>
              <w:rPr>
                <w:color w:val="1E1E1E"/>
                <w:sz w:val="16"/>
              </w:rPr>
              <w:t>ESG-/WÖk-Daten als Kredit- und Versicherungsargument</w:t>
            </w:r>
          </w:p>
        </w:tc>
      </w:tr>
    </w:tbl>
    <w:p>
      <w:pPr>
        <w:pStyle w:val="Heading1"/>
        <w:spacing w:before="200" w:after="80"/>
      </w:pPr>
      <w:r>
        <w:rPr>
          <w:rFonts w:ascii="Georgia" w:hAnsi="Georgia"/>
          <w:b/>
          <w:color w:val="081020"/>
        </w:rPr>
        <w:t>11. KMU-Tauglichkeit und Lieferantenfairness</w:t>
      </w:r>
    </w:p>
    <w:p>
      <w:pPr>
        <w:spacing w:after="120" w:line="269" w:lineRule="auto"/>
      </w:pPr>
      <w:r>
        <w:t>Eine wirkungsorientierte Einkaufsarchitektur darf kleine und mittlere Unternehmen nicht durch Konzernbürokratie überfordern. Gerade KMU können hohe positive Wirkung erzeugen: lokale Wertschöpfung, direkte Verantwortung, kurze Wege, Spezialisierung und Innovationsnähe. Wenn die Datenanforderungen nur Konzernlogik abbilden, entstehen neue Ungleichheiten.</w:t>
      </w:r>
    </w:p>
    <w:p>
      <w:pPr>
        <w:spacing w:after="120" w:line="269" w:lineRule="auto"/>
      </w:pPr>
      <w:r>
        <w:t>Darum braucht es vereinfachte Scorecards, abgestufte Nachweise, Branchenbenchmarks, gemeinsame Datenräume, Musterklauseln, Beratungsprogramme und faire Übergangsfristen. Wirkungsorientierter Einkauf darf nicht bedeuten, dass kleine Lieferanten aus Listen fallen, weil sie weniger Berichtskapazität haben.</w:t>
      </w:r>
    </w:p>
    <w:p>
      <w:pPr>
        <w:spacing w:after="40"/>
        <w:ind w:left="317" w:hanging="173"/>
      </w:pPr>
      <w:r>
        <w:rPr>
          <w:color w:val="2A7D5C"/>
        </w:rPr>
        <w:t xml:space="preserve">• </w:t>
      </w:r>
      <w:r>
        <w:t>Proportionalität nach Unternehmensgröße und Risikoprofil.</w:t>
      </w:r>
    </w:p>
    <w:p>
      <w:pPr>
        <w:spacing w:after="40"/>
        <w:ind w:left="317" w:hanging="173"/>
      </w:pPr>
      <w:r>
        <w:rPr>
          <w:color w:val="2A7D5C"/>
        </w:rPr>
        <w:t xml:space="preserve">• </w:t>
      </w:r>
      <w:r>
        <w:t>Standardisierte Kurzscorecards für KMU.</w:t>
      </w:r>
    </w:p>
    <w:p>
      <w:pPr>
        <w:spacing w:after="40"/>
        <w:ind w:left="317" w:hanging="173"/>
      </w:pPr>
      <w:r>
        <w:rPr>
          <w:color w:val="2A7D5C"/>
        </w:rPr>
        <w:t xml:space="preserve">• </w:t>
      </w:r>
      <w:r>
        <w:t>Datenkooperation statt Einzelnachweischaos.</w:t>
      </w:r>
    </w:p>
    <w:p>
      <w:pPr>
        <w:spacing w:after="40"/>
        <w:ind w:left="317" w:hanging="173"/>
      </w:pPr>
      <w:r>
        <w:rPr>
          <w:color w:val="2A7D5C"/>
        </w:rPr>
        <w:t xml:space="preserve">• </w:t>
      </w:r>
      <w:r>
        <w:t>Lieferantenentwicklung als Pflicht großer Abnehmer.</w:t>
      </w:r>
    </w:p>
    <w:p>
      <w:pPr>
        <w:spacing w:after="40"/>
        <w:ind w:left="317" w:hanging="173"/>
      </w:pPr>
      <w:r>
        <w:rPr>
          <w:color w:val="2A7D5C"/>
        </w:rPr>
        <w:t xml:space="preserve">• </w:t>
      </w:r>
      <w:r>
        <w:t>Keine Verlagerung von Kosten ohne faire Preis- und Transformationslogik.</w:t>
      </w:r>
    </w:p>
    <w:p/>
    <w:p>
      <w:pPr>
        <w:pStyle w:val="Heading1"/>
        <w:spacing w:before="200" w:after="80"/>
      </w:pPr>
      <w:r>
        <w:rPr>
          <w:rFonts w:ascii="Georgia" w:hAnsi="Georgia"/>
          <w:b/>
          <w:color w:val="081020"/>
        </w:rPr>
        <w:t>12. Tool- und Rechnerbezug</w:t>
      </w:r>
    </w:p>
    <w:p>
      <w:pPr>
        <w:spacing w:after="120" w:line="269" w:lineRule="auto"/>
      </w:pPr>
      <w:r>
        <w:t>Für die Website und die Praxis sollte dieser Unterbereich mit einer Tool-Suite verbunden werden. Die Tools sind keine automatischen Vergabeentscheidungen, sondern strukturieren Daten, Risiken, Wirkungspfade und Verbesserungsoptionen.</w:t>
      </w:r>
    </w:p>
    <w:tbl>
      <w:tblPr>
        <w:tblStyle w:val="TableGrid"/>
        <w:tblW w:type="auto" w:w="0"/>
        <w:jc w:val="center"/>
        <w:tblLook w:firstColumn="1" w:firstRow="1" w:lastColumn="0" w:lastRow="0" w:noHBand="0" w:noVBand="1" w:val="04A0"/>
      </w:tblPr>
      <w:tblGrid>
        <w:gridCol w:w="3331"/>
        <w:gridCol w:w="3331"/>
        <w:gridCol w:w="3331"/>
      </w:tblGrid>
      <w:tr>
        <w:trPr>
          <w:tblHeader w:val="true"/>
        </w:trPr>
        <w:tc>
          <w:tcPr>
            <w:tcW w:type="dxa" w:w="2880"/>
            <w:shd w:fill="EDE6D9"/>
            <w:vAlign w:val="center"/>
            <w:tcBorders>
              <w:top w:val="single" w:sz="4" w:color="D8D0C4"/>
              <w:left w:val="single" w:sz="4" w:color="D8D0C4"/>
              <w:bottom w:val="single" w:sz="4" w:color="D8D0C4"/>
              <w:right w:val="single" w:sz="4" w:color="D8D0C4"/>
            </w:tcBorders>
          </w:tcPr>
          <w:p>
            <w:r>
              <w:rPr>
                <w:b/>
                <w:color w:val="081020"/>
                <w:sz w:val="17"/>
              </w:rPr>
              <w:t>Tool</w:t>
            </w:r>
          </w:p>
        </w:tc>
        <w:tc>
          <w:tcPr>
            <w:tcW w:type="dxa" w:w="5184"/>
            <w:shd w:fill="EDE6D9"/>
            <w:vAlign w:val="center"/>
            <w:tcBorders>
              <w:top w:val="single" w:sz="4" w:color="D8D0C4"/>
              <w:left w:val="single" w:sz="4" w:color="D8D0C4"/>
              <w:bottom w:val="single" w:sz="4" w:color="D8D0C4"/>
              <w:right w:val="single" w:sz="4" w:color="D8D0C4"/>
            </w:tcBorders>
          </w:tcPr>
          <w:p>
            <w:r>
              <w:rPr>
                <w:b/>
                <w:color w:val="081020"/>
                <w:sz w:val="17"/>
              </w:rPr>
              <w:t>Funktion</w:t>
            </w:r>
          </w:p>
        </w:tc>
        <w:tc>
          <w:tcPr>
            <w:tcW w:type="dxa" w:w="1728"/>
            <w:shd w:fill="EDE6D9"/>
            <w:vAlign w:val="center"/>
            <w:tcBorders>
              <w:top w:val="single" w:sz="4" w:color="D8D0C4"/>
              <w:left w:val="single" w:sz="4" w:color="D8D0C4"/>
              <w:bottom w:val="single" w:sz="4" w:color="D8D0C4"/>
              <w:right w:val="single" w:sz="4" w:color="D8D0C4"/>
            </w:tcBorders>
          </w:tcPr>
          <w:p>
            <w:r>
              <w:rPr>
                <w:b/>
                <w:color w:val="081020"/>
                <w:sz w:val="17"/>
              </w:rPr>
              <w:t>Status</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Lieferketten-Wirkungscheck</w:t>
            </w:r>
          </w:p>
        </w:tc>
        <w:tc>
          <w:tcPr>
            <w:tcW w:type="dxa" w:w="5184"/>
            <w:vAlign w:val="top"/>
            <w:tcBorders>
              <w:top w:val="single" w:sz="4" w:color="D8D0C4"/>
              <w:left w:val="single" w:sz="4" w:color="D8D0C4"/>
              <w:bottom w:val="single" w:sz="4" w:color="D8D0C4"/>
              <w:right w:val="single" w:sz="4" w:color="D8D0C4"/>
            </w:tcBorders>
          </w:tcPr>
          <w:p>
            <w:r>
              <w:rPr>
                <w:color w:val="1E1E1E"/>
                <w:sz w:val="16"/>
              </w:rPr>
              <w:t>prüft Lieferanten entlang WÖk-ID-Familien, Datenqualität und roten Linien</w:t>
            </w:r>
          </w:p>
        </w:tc>
        <w:tc>
          <w:tcPr>
            <w:tcW w:type="dxa" w:w="1728"/>
            <w:vAlign w:val="top"/>
            <w:tcBorders>
              <w:top w:val="single" w:sz="4" w:color="D8D0C4"/>
              <w:left w:val="single" w:sz="4" w:color="D8D0C4"/>
              <w:bottom w:val="single" w:sz="4" w:color="D8D0C4"/>
              <w:right w:val="single" w:sz="4" w:color="D8D0C4"/>
            </w:tcBorders>
          </w:tcPr>
          <w:p>
            <w:r>
              <w:rPr>
                <w:color w:val="1E1E1E"/>
                <w:sz w:val="16"/>
              </w:rPr>
              <w:t>Demo in Vorbereitung</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Supplier Scorecard Generator</w:t>
            </w:r>
          </w:p>
        </w:tc>
        <w:tc>
          <w:tcPr>
            <w:tcW w:type="dxa" w:w="5184"/>
            <w:vAlign w:val="top"/>
            <w:tcBorders>
              <w:top w:val="single" w:sz="4" w:color="D8D0C4"/>
              <w:left w:val="single" w:sz="4" w:color="D8D0C4"/>
              <w:bottom w:val="single" w:sz="4" w:color="D8D0C4"/>
              <w:right w:val="single" w:sz="4" w:color="D8D0C4"/>
            </w:tcBorders>
          </w:tcPr>
          <w:p>
            <w:r>
              <w:rPr>
                <w:color w:val="1E1E1E"/>
                <w:sz w:val="16"/>
              </w:rPr>
              <w:t>erstellt beschaffungsfähige Scorecards aus ESRS/GRI/DPP-Daten</w:t>
            </w:r>
          </w:p>
        </w:tc>
        <w:tc>
          <w:tcPr>
            <w:tcW w:type="dxa" w:w="1728"/>
            <w:vAlign w:val="top"/>
            <w:tcBorders>
              <w:top w:val="single" w:sz="4" w:color="D8D0C4"/>
              <w:left w:val="single" w:sz="4" w:color="D8D0C4"/>
              <w:bottom w:val="single" w:sz="4" w:color="D8D0C4"/>
              <w:right w:val="single" w:sz="4" w:color="D8D0C4"/>
            </w:tcBorders>
          </w:tcPr>
          <w:p>
            <w:r>
              <w:rPr>
                <w:color w:val="1E1E1E"/>
                <w:sz w:val="16"/>
              </w:rPr>
              <w:t>Konzept</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Sourcing-Szenario-Rechner</w:t>
            </w:r>
          </w:p>
        </w:tc>
        <w:tc>
          <w:tcPr>
            <w:tcW w:type="dxa" w:w="5184"/>
            <w:vAlign w:val="top"/>
            <w:tcBorders>
              <w:top w:val="single" w:sz="4" w:color="D8D0C4"/>
              <w:left w:val="single" w:sz="4" w:color="D8D0C4"/>
              <w:bottom w:val="single" w:sz="4" w:color="D8D0C4"/>
              <w:right w:val="single" w:sz="4" w:color="D8D0C4"/>
            </w:tcBorders>
          </w:tcPr>
          <w:p>
            <w:r>
              <w:rPr>
                <w:color w:val="1E1E1E"/>
                <w:sz w:val="16"/>
              </w:rPr>
              <w:t>vergleicht Preis, Risiko, Wirkung und Resilienz mehrerer Beschaffungsoptionen</w:t>
            </w:r>
          </w:p>
        </w:tc>
        <w:tc>
          <w:tcPr>
            <w:tcW w:type="dxa" w:w="1728"/>
            <w:vAlign w:val="top"/>
            <w:tcBorders>
              <w:top w:val="single" w:sz="4" w:color="D8D0C4"/>
              <w:left w:val="single" w:sz="4" w:color="D8D0C4"/>
              <w:bottom w:val="single" w:sz="4" w:color="D8D0C4"/>
              <w:right w:val="single" w:sz="4" w:color="D8D0C4"/>
            </w:tcBorders>
          </w:tcPr>
          <w:p>
            <w:r>
              <w:rPr>
                <w:color w:val="1E1E1E"/>
                <w:sz w:val="16"/>
              </w:rPr>
              <w:t>Konzept</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Vorsteuer-/WUStG-Lieferkettenmodul</w:t>
            </w:r>
          </w:p>
        </w:tc>
        <w:tc>
          <w:tcPr>
            <w:tcW w:type="dxa" w:w="5184"/>
            <w:vAlign w:val="top"/>
            <w:tcBorders>
              <w:top w:val="single" w:sz="4" w:color="D8D0C4"/>
              <w:left w:val="single" w:sz="4" w:color="D8D0C4"/>
              <w:bottom w:val="single" w:sz="4" w:color="D8D0C4"/>
              <w:right w:val="single" w:sz="4" w:color="D8D0C4"/>
            </w:tcBorders>
          </w:tcPr>
          <w:p>
            <w:r>
              <w:rPr>
                <w:color w:val="1E1E1E"/>
                <w:sz w:val="16"/>
              </w:rPr>
              <w:t>simuliert steuerliche Wirkung positiver und negativer Vorleistungen</w:t>
            </w:r>
          </w:p>
        </w:tc>
        <w:tc>
          <w:tcPr>
            <w:tcW w:type="dxa" w:w="1728"/>
            <w:vAlign w:val="top"/>
            <w:tcBorders>
              <w:top w:val="single" w:sz="4" w:color="D8D0C4"/>
              <w:left w:val="single" w:sz="4" w:color="D8D0C4"/>
              <w:bottom w:val="single" w:sz="4" w:color="D8D0C4"/>
              <w:right w:val="single" w:sz="4" w:color="D8D0C4"/>
            </w:tcBorders>
          </w:tcPr>
          <w:p>
            <w:r>
              <w:rPr>
                <w:color w:val="1E1E1E"/>
                <w:sz w:val="16"/>
              </w:rPr>
              <w:t>Konzept</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Critical Supplier Radar</w:t>
            </w:r>
          </w:p>
        </w:tc>
        <w:tc>
          <w:tcPr>
            <w:tcW w:type="dxa" w:w="5184"/>
            <w:vAlign w:val="top"/>
            <w:tcBorders>
              <w:top w:val="single" w:sz="4" w:color="D8D0C4"/>
              <w:left w:val="single" w:sz="4" w:color="D8D0C4"/>
              <w:bottom w:val="single" w:sz="4" w:color="D8D0C4"/>
              <w:right w:val="single" w:sz="4" w:color="D8D0C4"/>
            </w:tcBorders>
          </w:tcPr>
          <w:p>
            <w:r>
              <w:rPr>
                <w:color w:val="1E1E1E"/>
                <w:sz w:val="16"/>
              </w:rPr>
              <w:t>erkennt geopolitische, klimatische und datenbezogene Engpässe</w:t>
            </w:r>
          </w:p>
        </w:tc>
        <w:tc>
          <w:tcPr>
            <w:tcW w:type="dxa" w:w="1728"/>
            <w:vAlign w:val="top"/>
            <w:tcBorders>
              <w:top w:val="single" w:sz="4" w:color="D8D0C4"/>
              <w:left w:val="single" w:sz="4" w:color="D8D0C4"/>
              <w:bottom w:val="single" w:sz="4" w:color="D8D0C4"/>
              <w:right w:val="single" w:sz="4" w:color="D8D0C4"/>
            </w:tcBorders>
          </w:tcPr>
          <w:p>
            <w:r>
              <w:rPr>
                <w:color w:val="1E1E1E"/>
                <w:sz w:val="16"/>
              </w:rPr>
              <w:t>Konzept</w:t>
            </w:r>
          </w:p>
        </w:tc>
      </w:tr>
    </w:tbl>
    <w:p>
      <w:pPr>
        <w:pStyle w:val="Heading1"/>
        <w:spacing w:before="200" w:after="80"/>
      </w:pPr>
      <w:r>
        <w:rPr>
          <w:rFonts w:ascii="Georgia" w:hAnsi="Georgia"/>
          <w:b/>
          <w:color w:val="081020"/>
        </w:rPr>
        <w:t>13. Politische Anschlussfähigkeit und Umsetzungsoptionen</w:t>
      </w:r>
    </w:p>
    <w:p>
      <w:pPr>
        <w:spacing w:after="120" w:line="269" w:lineRule="auto"/>
      </w:pPr>
      <w:r>
        <w:t>Die folgenden Anforderungen beschreiben keinen fertigen Parteibeschluss. Sie markieren den Rahmen, damit wirkungsorientierte Lieferketten demokratisch, rechtsstaatlich und praktisch umgesetzt werden können. Unterschiedliche Parteien können innerhalb dieses Rahmens unterschiedliche Wege wählen.</w:t>
      </w:r>
    </w:p>
    <w:tbl>
      <w:tblPr>
        <w:tblStyle w:val="TableGrid"/>
        <w:tblW w:type="auto" w:w="0"/>
        <w:jc w:val="center"/>
        <w:tblLook w:firstColumn="1" w:firstRow="1" w:lastColumn="0" w:lastRow="0" w:noHBand="0" w:noVBand="1" w:val="04A0"/>
      </w:tblPr>
      <w:tblGrid>
        <w:gridCol w:w="4997"/>
        <w:gridCol w:w="4997"/>
      </w:tblGrid>
      <w:tr>
        <w:trPr>
          <w:tblHeader w:val="true"/>
        </w:trPr>
        <w:tc>
          <w:tcPr>
            <w:tcW w:type="dxa" w:w="2592"/>
            <w:shd w:fill="EDE6D9"/>
            <w:vAlign w:val="center"/>
            <w:tcBorders>
              <w:top w:val="single" w:sz="4" w:color="D8D0C4"/>
              <w:left w:val="single" w:sz="4" w:color="D8D0C4"/>
              <w:bottom w:val="single" w:sz="4" w:color="D8D0C4"/>
              <w:right w:val="single" w:sz="4" w:color="D8D0C4"/>
            </w:tcBorders>
          </w:tcPr>
          <w:p>
            <w:r>
              <w:rPr>
                <w:b/>
                <w:color w:val="081020"/>
                <w:sz w:val="17"/>
              </w:rPr>
              <w:t>Ebene</w:t>
            </w:r>
          </w:p>
        </w:tc>
        <w:tc>
          <w:tcPr>
            <w:tcW w:type="dxa" w:w="7056"/>
            <w:shd w:fill="EDE6D9"/>
            <w:vAlign w:val="center"/>
            <w:tcBorders>
              <w:top w:val="single" w:sz="4" w:color="D8D0C4"/>
              <w:left w:val="single" w:sz="4" w:color="D8D0C4"/>
              <w:bottom w:val="single" w:sz="4" w:color="D8D0C4"/>
              <w:right w:val="single" w:sz="4" w:color="D8D0C4"/>
            </w:tcBorders>
          </w:tcPr>
          <w:p>
            <w:r>
              <w:rPr>
                <w:b/>
                <w:color w:val="081020"/>
                <w:sz w:val="17"/>
              </w:rPr>
              <w:t>Aufgabe für Politik und Umsetzung</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Aufgabe der Politik</w:t>
            </w:r>
          </w:p>
        </w:tc>
        <w:tc>
          <w:tcPr>
            <w:tcW w:type="dxa" w:w="7056"/>
            <w:vAlign w:val="top"/>
            <w:tcBorders>
              <w:top w:val="single" w:sz="4" w:color="D8D0C4"/>
              <w:left w:val="single" w:sz="4" w:color="D8D0C4"/>
              <w:bottom w:val="single" w:sz="4" w:color="D8D0C4"/>
              <w:right w:val="single" w:sz="4" w:color="D8D0C4"/>
            </w:tcBorders>
          </w:tcPr>
          <w:p>
            <w:r>
              <w:rPr>
                <w:color w:val="1E1E1E"/>
                <w:sz w:val="16"/>
              </w:rPr>
              <w:t>Mindeststandards, Dateninfrastruktur, Rechtsschutz, KMU-Entlastung und fairen Wettbewerb sichern.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Rahmenbedingungen</w:t>
            </w:r>
          </w:p>
        </w:tc>
        <w:tc>
          <w:tcPr>
            <w:tcW w:type="dxa" w:w="7056"/>
            <w:vAlign w:val="top"/>
            <w:tcBorders>
              <w:top w:val="single" w:sz="4" w:color="D8D0C4"/>
              <w:left w:val="single" w:sz="4" w:color="D8D0C4"/>
              <w:bottom w:val="single" w:sz="4" w:color="D8D0C4"/>
              <w:right w:val="single" w:sz="4" w:color="D8D0C4"/>
            </w:tcBorders>
          </w:tcPr>
          <w:p>
            <w:r>
              <w:rPr>
                <w:color w:val="1E1E1E"/>
                <w:sz w:val="16"/>
              </w:rPr>
              <w:t>CSRD/ESRS, CSDDD, LkSG, DPP, öffentliche Beschaffung und Steuerrecht zusammendenken.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Ausgestaltungsspielraum</w:t>
            </w:r>
          </w:p>
        </w:tc>
        <w:tc>
          <w:tcPr>
            <w:tcW w:type="dxa" w:w="7056"/>
            <w:vAlign w:val="top"/>
            <w:tcBorders>
              <w:top w:val="single" w:sz="4" w:color="D8D0C4"/>
              <w:left w:val="single" w:sz="4" w:color="D8D0C4"/>
              <w:bottom w:val="single" w:sz="4" w:color="D8D0C4"/>
              <w:right w:val="single" w:sz="4" w:color="D8D0C4"/>
            </w:tcBorders>
          </w:tcPr>
          <w:p>
            <w:r>
              <w:rPr>
                <w:color w:val="1E1E1E"/>
                <w:sz w:val="16"/>
              </w:rPr>
              <w:t>Tempo, Schwellenwerte, Förderlogik, Sanktionen und Branchenprioritäten bleiben politisch gestaltbar.</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Zielkonflikte</w:t>
            </w:r>
          </w:p>
        </w:tc>
        <w:tc>
          <w:tcPr>
            <w:tcW w:type="dxa" w:w="7056"/>
            <w:vAlign w:val="top"/>
            <w:tcBorders>
              <w:top w:val="single" w:sz="4" w:color="D8D0C4"/>
              <w:left w:val="single" w:sz="4" w:color="D8D0C4"/>
              <w:bottom w:val="single" w:sz="4" w:color="D8D0C4"/>
              <w:right w:val="single" w:sz="4" w:color="D8D0C4"/>
            </w:tcBorders>
          </w:tcPr>
          <w:p>
            <w:r>
              <w:rPr>
                <w:color w:val="1E1E1E"/>
                <w:sz w:val="16"/>
              </w:rPr>
              <w:t>Bürokratiearmut, Menschenrechte, Wettbewerbsfähigkeit, KMU-Schutz und globale Fairness austarieren.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Rollenverteilung</w:t>
            </w:r>
          </w:p>
        </w:tc>
        <w:tc>
          <w:tcPr>
            <w:tcW w:type="dxa" w:w="7056"/>
            <w:vAlign w:val="top"/>
            <w:tcBorders>
              <w:top w:val="single" w:sz="4" w:color="D8D0C4"/>
              <w:left w:val="single" w:sz="4" w:color="D8D0C4"/>
              <w:bottom w:val="single" w:sz="4" w:color="D8D0C4"/>
              <w:right w:val="single" w:sz="4" w:color="D8D0C4"/>
            </w:tcBorders>
          </w:tcPr>
          <w:p>
            <w:r>
              <w:rPr>
                <w:color w:val="1E1E1E"/>
                <w:sz w:val="16"/>
              </w:rPr>
              <w:t>EU, Bund, Länder, Kommunen, Unternehmen, Banken, Versicherer, Gewerkschaften und Zivilgesellschaft wirken zusammen.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Übergang und Schutz</w:t>
            </w:r>
          </w:p>
        </w:tc>
        <w:tc>
          <w:tcPr>
            <w:tcW w:type="dxa" w:w="7056"/>
            <w:vAlign w:val="top"/>
            <w:tcBorders>
              <w:top w:val="single" w:sz="4" w:color="D8D0C4"/>
              <w:left w:val="single" w:sz="4" w:color="D8D0C4"/>
              <w:bottom w:val="single" w:sz="4" w:color="D8D0C4"/>
              <w:right w:val="single" w:sz="4" w:color="D8D0C4"/>
            </w:tcBorders>
          </w:tcPr>
          <w:p>
            <w:r>
              <w:rPr>
                <w:color w:val="1E1E1E"/>
                <w:sz w:val="16"/>
              </w:rPr>
              <w:t>Lieferantenentwicklung, Fristen, Härtefälle, Datenvereinfachung und Finanzierungshilfen.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Evaluation</w:t>
            </w:r>
          </w:p>
        </w:tc>
        <w:tc>
          <w:tcPr>
            <w:tcW w:type="dxa" w:w="7056"/>
            <w:vAlign w:val="top"/>
            <w:tcBorders>
              <w:top w:val="single" w:sz="4" w:color="D8D0C4"/>
              <w:left w:val="single" w:sz="4" w:color="D8D0C4"/>
              <w:bottom w:val="single" w:sz="4" w:color="D8D0C4"/>
              <w:right w:val="single" w:sz="4" w:color="D8D0C4"/>
            </w:tcBorders>
          </w:tcPr>
          <w:p>
            <w:r>
              <w:rPr>
                <w:color w:val="1E1E1E"/>
                <w:sz w:val="16"/>
              </w:rPr>
              <w:t>Wirkungsberichte, Lieferkettenaudits, öffentliche Konsultation und Wirkungsrat.</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Schutz vor Technokratie</w:t>
            </w:r>
          </w:p>
        </w:tc>
        <w:tc>
          <w:tcPr>
            <w:tcW w:type="dxa" w:w="7056"/>
            <w:vAlign w:val="top"/>
            <w:tcBorders>
              <w:top w:val="single" w:sz="4" w:color="D8D0C4"/>
              <w:left w:val="single" w:sz="4" w:color="D8D0C4"/>
              <w:bottom w:val="single" w:sz="4" w:color="D8D0C4"/>
              <w:right w:val="single" w:sz="4" w:color="D8D0C4"/>
            </w:tcBorders>
          </w:tcPr>
          <w:p>
            <w:r>
              <w:rPr>
                <w:color w:val="1E1E1E"/>
                <w:sz w:val="16"/>
              </w:rPr>
              <w:t>Daten bereiten Entscheidungen vor, ersetzen aber keine demokratische Normsetzung.</w:t>
            </w:r>
          </w:p>
        </w:tc>
      </w:tr>
    </w:tbl>
    <w:p>
      <w:pPr>
        <w:pStyle w:val="Heading1"/>
        <w:spacing w:before="200" w:after="80"/>
      </w:pPr>
      <w:r>
        <w:rPr>
          <w:rFonts w:ascii="Georgia" w:hAnsi="Georgia"/>
          <w:b/>
          <w:color w:val="081020"/>
        </w:rPr>
        <w:t>14. Website- und Portalintegration</w:t>
      </w:r>
    </w:p>
    <w:p>
      <w:pPr>
        <w:spacing w:after="120" w:line="269" w:lineRule="auto"/>
      </w:pPr>
      <w:r>
        <w:t>Auf dem Portal Wirtschaft &amp; Unternehmen sollte dieser Unterbereich nicht als kurzer Absatz erscheinen, sondern als eigener Vertiefungsbaustein. Der Portaltext kann eine Kurzfassung enthalten; darunter folgen Online-Volltext, Download, Toolkarten und Querverlinkungen.</w:t>
      </w:r>
    </w:p>
    <w:p>
      <w:pPr>
        <w:spacing w:after="40"/>
        <w:ind w:left="317" w:hanging="173"/>
      </w:pPr>
      <w:r>
        <w:rPr>
          <w:color w:val="2A7D5C"/>
        </w:rPr>
        <w:t xml:space="preserve">• </w:t>
      </w:r>
      <w:r>
        <w:t>URL-Vorschlag: /wirkungsfelder/wirtschaft-unternehmen/resiliente-wertschoepfungsketten-einkauf/</w:t>
      </w:r>
    </w:p>
    <w:p>
      <w:pPr>
        <w:spacing w:after="40"/>
        <w:ind w:left="317" w:hanging="173"/>
      </w:pPr>
      <w:r>
        <w:rPr>
          <w:color w:val="2A7D5C"/>
        </w:rPr>
        <w:t xml:space="preserve">• </w:t>
      </w:r>
      <w:r>
        <w:t>Verlinkung zu Produkte &amp; Konsum, WUStG, WÖk-IDs, Scorecards, T-SROI und Finanzsystem.</w:t>
      </w:r>
    </w:p>
    <w:p>
      <w:pPr>
        <w:spacing w:after="40"/>
        <w:ind w:left="317" w:hanging="173"/>
      </w:pPr>
      <w:r>
        <w:rPr>
          <w:color w:val="2A7D5C"/>
        </w:rPr>
        <w:t xml:space="preserve">• </w:t>
      </w:r>
      <w:r>
        <w:t>Einbindung des bestehenden Lieferkettenpapiers als Grundlagenpapier.</w:t>
      </w:r>
    </w:p>
    <w:p>
      <w:pPr>
        <w:spacing w:after="40"/>
        <w:ind w:left="317" w:hanging="173"/>
      </w:pPr>
      <w:r>
        <w:rPr>
          <w:color w:val="2A7D5C"/>
        </w:rPr>
        <w:t xml:space="preserve">• </w:t>
      </w:r>
      <w:r>
        <w:t>Statusanzeige: Detailkonzept veröffentlicht, Dossier in Arbeit, Tool-Demo in Vorbereitung.</w:t>
      </w:r>
    </w:p>
    <w:p>
      <w:pPr>
        <w:pStyle w:val="Heading1"/>
        <w:spacing w:before="200" w:after="80"/>
      </w:pPr>
      <w:r>
        <w:rPr>
          <w:rFonts w:ascii="Georgia" w:hAnsi="Georgia"/>
          <w:b/>
          <w:color w:val="081020"/>
        </w:rPr>
        <w:t>15. Fazit</w:t>
      </w:r>
    </w:p>
    <w:p>
      <w:pPr>
        <w:spacing w:after="120" w:line="269" w:lineRule="auto"/>
      </w:pPr>
      <w:r>
        <w:t>Resiliente Wertschöpfungsketten entstehen nicht durch Misstrauen, sondern durch bessere Rückkopplung. Die Wirkungsökonomie macht sichtbar, was heute im Einkauf verborgen bleibt: Menschenrechte, Klima, Ressourcen, Datenqualität, Lieferfähigkeit, Kapitalrisiken und Zukunftsfähigkeit.</w:t>
      </w:r>
    </w:p>
    <w:p>
      <w:pPr>
        <w:spacing w:after="120" w:line="269" w:lineRule="auto"/>
      </w:pPr>
      <w:r>
        <w:t>Damit wird der Einkauf zu einem der wichtigsten Umsetzungsorte der Wirkungsökonomie. Wer Wirkung einkauft, baut Zukunftsfähigkeit in das Unternehmen ein. Wer Wirkungsrisiken ignoriert, importiert Instabilität in Produkte, Preise, Finanzierung und Vertrauen.</w:t>
      </w:r>
    </w:p>
    <w:p/>
    <w:p>
      <w:pPr>
        <w:pStyle w:val="Heading1"/>
        <w:spacing w:before="200" w:after="80"/>
      </w:pPr>
      <w:r>
        <w:rPr>
          <w:rFonts w:ascii="Georgia" w:hAnsi="Georgia"/>
          <w:b/>
          <w:color w:val="081020"/>
        </w:rPr>
        <w:t>16. Praxisfälle: Textil, Batterie und Bauprodukt</w:t>
      </w:r>
    </w:p>
    <w:p>
      <w:pPr>
        <w:spacing w:after="120" w:line="269" w:lineRule="auto"/>
      </w:pPr>
      <w:r>
        <w:t>Ein wirksames Detailkonzept muss zeigen, wie die Logik in realen Beschaffungsfeldern funktioniert. Drei typische Fälle sind Textil, Batterie und Bauprodukt. Sie unterscheiden sich stark, zeigen aber dieselbe Grundmechanik: Wirkung ist nicht an einer Stelle der Kette lokalisiert, sondern verteilt sich über Rohstoffe, Arbeit, Energie, Chemie, Transport, Nutzung und Ende.</w:t>
      </w:r>
    </w:p>
    <w:p>
      <w:pPr>
        <w:spacing w:after="120" w:line="269" w:lineRule="auto"/>
      </w:pPr>
      <w:r>
        <w:t>Im Textilbereich liegen die Risiken häufig bei Baumwolle, Chemikalien, Färberei, Arbeitsrechten, Wasser und Überproduktion. Eine wirkungsorientierte Beschaffung würde nicht nur Zertifikate sammeln, sondern Lieferanten nach Wasserstress, Abwasserqualität, Living-Wage-Abdeckung, Chemikalienmanagement, Rückverfolgbarkeit und Kreislauffähigkeit gewichten.</w:t>
      </w:r>
    </w:p>
    <w:p>
      <w:pPr>
        <w:spacing w:after="120" w:line="269" w:lineRule="auto"/>
      </w:pPr>
      <w:r>
        <w:t>Bei Batterien stehen kritische Rohstoffe, Energieintensität, Recycling, Lieferkettenabhängigkeit, Arbeitssicherheit und geopolitische Risiken im Vordergrund. Der Einkauf darf hier nicht nur den Zellpreis betrachten, sondern muss die gesamte Material- und Datenkette prüfen: Herkunft, Auditierbarkeit, Recyclingpfad, Energiequelle, Lieferstabilität und Substitutionsfähigkeit.</w:t>
      </w:r>
    </w:p>
    <w:p>
      <w:pPr>
        <w:spacing w:after="120" w:line="269" w:lineRule="auto"/>
      </w:pPr>
      <w:r>
        <w:t>Bei Bauprodukten verschieben sich die Kriterien: graue Emissionen, Schadstoffe, Rückbau, Langlebigkeit, Brandschutz, Innenraumgesundheit, Kreislauffähigkeit und regionale Lieferfähigkeit. Ein billiges Bauprodukt kann später hohe Gesundheits-, Klima- oder Entsorgungskosten auslösen. Wirkungsorientierter Einkauf macht diese Kosten früh sichtbar.</w:t>
      </w:r>
    </w:p>
    <w:tbl>
      <w:tblPr>
        <w:tblStyle w:val="TableGrid"/>
        <w:tblW w:type="auto" w:w="0"/>
        <w:jc w:val="center"/>
        <w:tblLook w:firstColumn="1" w:firstRow="1" w:lastColumn="0" w:lastRow="0" w:noHBand="0" w:noVBand="1" w:val="04A0"/>
      </w:tblPr>
      <w:tblGrid>
        <w:gridCol w:w="3331"/>
        <w:gridCol w:w="3331"/>
        <w:gridCol w:w="3331"/>
      </w:tblGrid>
      <w:tr>
        <w:trPr>
          <w:tblHeader w:val="true"/>
        </w:trPr>
        <w:tc>
          <w:tcPr>
            <w:tcW w:type="dxa" w:w="2304"/>
            <w:shd w:fill="EDE6D9"/>
            <w:vAlign w:val="center"/>
            <w:tcBorders>
              <w:top w:val="single" w:sz="4" w:color="D8D0C4"/>
              <w:left w:val="single" w:sz="4" w:color="D8D0C4"/>
              <w:bottom w:val="single" w:sz="4" w:color="D8D0C4"/>
              <w:right w:val="single" w:sz="4" w:color="D8D0C4"/>
            </w:tcBorders>
          </w:tcPr>
          <w:p>
            <w:r>
              <w:rPr>
                <w:b/>
                <w:color w:val="081020"/>
                <w:sz w:val="17"/>
              </w:rPr>
              <w:t>Produktfeld</w:t>
            </w:r>
          </w:p>
        </w:tc>
        <w:tc>
          <w:tcPr>
            <w:tcW w:type="dxa" w:w="4320"/>
            <w:shd w:fill="EDE6D9"/>
            <w:vAlign w:val="center"/>
            <w:tcBorders>
              <w:top w:val="single" w:sz="4" w:color="D8D0C4"/>
              <w:left w:val="single" w:sz="4" w:color="D8D0C4"/>
              <w:bottom w:val="single" w:sz="4" w:color="D8D0C4"/>
              <w:right w:val="single" w:sz="4" w:color="D8D0C4"/>
            </w:tcBorders>
          </w:tcPr>
          <w:p>
            <w:r>
              <w:rPr>
                <w:b/>
                <w:color w:val="081020"/>
                <w:sz w:val="17"/>
              </w:rPr>
              <w:t>Hauptwirkungen</w:t>
            </w:r>
          </w:p>
        </w:tc>
        <w:tc>
          <w:tcPr>
            <w:tcW w:type="dxa" w:w="3456"/>
            <w:shd w:fill="EDE6D9"/>
            <w:vAlign w:val="center"/>
            <w:tcBorders>
              <w:top w:val="single" w:sz="4" w:color="D8D0C4"/>
              <w:left w:val="single" w:sz="4" w:color="D8D0C4"/>
              <w:bottom w:val="single" w:sz="4" w:color="D8D0C4"/>
              <w:right w:val="single" w:sz="4" w:color="D8D0C4"/>
            </w:tcBorders>
          </w:tcPr>
          <w:p>
            <w:r>
              <w:rPr>
                <w:b/>
                <w:color w:val="081020"/>
                <w:sz w:val="17"/>
              </w:rPr>
              <w:t>Beschaffungshebel</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Textil</w:t>
            </w:r>
          </w:p>
        </w:tc>
        <w:tc>
          <w:tcPr>
            <w:tcW w:type="dxa" w:w="4320"/>
            <w:vAlign w:val="top"/>
            <w:tcBorders>
              <w:top w:val="single" w:sz="4" w:color="D8D0C4"/>
              <w:left w:val="single" w:sz="4" w:color="D8D0C4"/>
              <w:bottom w:val="single" w:sz="4" w:color="D8D0C4"/>
              <w:right w:val="single" w:sz="4" w:color="D8D0C4"/>
            </w:tcBorders>
          </w:tcPr>
          <w:p>
            <w:r>
              <w:rPr>
                <w:color w:val="1E1E1E"/>
                <w:sz w:val="16"/>
              </w:rPr>
              <w:t>Wasser, Arbeit, Chemie, Abfall, Fast Fashion</w:t>
            </w:r>
          </w:p>
        </w:tc>
        <w:tc>
          <w:tcPr>
            <w:tcW w:type="dxa" w:w="3456"/>
            <w:vAlign w:val="top"/>
            <w:tcBorders>
              <w:top w:val="single" w:sz="4" w:color="D8D0C4"/>
              <w:left w:val="single" w:sz="4" w:color="D8D0C4"/>
              <w:bottom w:val="single" w:sz="4" w:color="D8D0C4"/>
              <w:right w:val="single" w:sz="4" w:color="D8D0C4"/>
            </w:tcBorders>
          </w:tcPr>
          <w:p>
            <w:r>
              <w:rPr>
                <w:color w:val="1E1E1E"/>
                <w:sz w:val="16"/>
              </w:rPr>
              <w:t>Living Wage, Abwasser, Faserwahl, Rücknahme, Mengenplanung</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Batterie</w:t>
            </w:r>
          </w:p>
        </w:tc>
        <w:tc>
          <w:tcPr>
            <w:tcW w:type="dxa" w:w="4320"/>
            <w:vAlign w:val="top"/>
            <w:tcBorders>
              <w:top w:val="single" w:sz="4" w:color="D8D0C4"/>
              <w:left w:val="single" w:sz="4" w:color="D8D0C4"/>
              <w:bottom w:val="single" w:sz="4" w:color="D8D0C4"/>
              <w:right w:val="single" w:sz="4" w:color="D8D0C4"/>
            </w:tcBorders>
          </w:tcPr>
          <w:p>
            <w:r>
              <w:rPr>
                <w:color w:val="1E1E1E"/>
                <w:sz w:val="16"/>
              </w:rPr>
              <w:t>kritische Rohstoffe, Energie, Recycling, geopolitische Risiken</w:t>
            </w:r>
          </w:p>
        </w:tc>
        <w:tc>
          <w:tcPr>
            <w:tcW w:type="dxa" w:w="3456"/>
            <w:vAlign w:val="top"/>
            <w:tcBorders>
              <w:top w:val="single" w:sz="4" w:color="D8D0C4"/>
              <w:left w:val="single" w:sz="4" w:color="D8D0C4"/>
              <w:bottom w:val="single" w:sz="4" w:color="D8D0C4"/>
              <w:right w:val="single" w:sz="4" w:color="D8D0C4"/>
            </w:tcBorders>
          </w:tcPr>
          <w:p>
            <w:r>
              <w:rPr>
                <w:color w:val="1E1E1E"/>
                <w:sz w:val="16"/>
              </w:rPr>
              <w:t>Rohstoffnachweis, Recyclingquote, Lieferantendiversifikation, DPP</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Bauprodukt</w:t>
            </w:r>
          </w:p>
        </w:tc>
        <w:tc>
          <w:tcPr>
            <w:tcW w:type="dxa" w:w="4320"/>
            <w:vAlign w:val="top"/>
            <w:tcBorders>
              <w:top w:val="single" w:sz="4" w:color="D8D0C4"/>
              <w:left w:val="single" w:sz="4" w:color="D8D0C4"/>
              <w:bottom w:val="single" w:sz="4" w:color="D8D0C4"/>
              <w:right w:val="single" w:sz="4" w:color="D8D0C4"/>
            </w:tcBorders>
          </w:tcPr>
          <w:p>
            <w:r>
              <w:rPr>
                <w:color w:val="1E1E1E"/>
                <w:sz w:val="16"/>
              </w:rPr>
              <w:t>graue Emissionen, Schadstoffe, Lebensdauer, Rückbau</w:t>
            </w:r>
          </w:p>
        </w:tc>
        <w:tc>
          <w:tcPr>
            <w:tcW w:type="dxa" w:w="3456"/>
            <w:vAlign w:val="top"/>
            <w:tcBorders>
              <w:top w:val="single" w:sz="4" w:color="D8D0C4"/>
              <w:left w:val="single" w:sz="4" w:color="D8D0C4"/>
              <w:bottom w:val="single" w:sz="4" w:color="D8D0C4"/>
              <w:right w:val="single" w:sz="4" w:color="D8D0C4"/>
            </w:tcBorders>
          </w:tcPr>
          <w:p>
            <w:r>
              <w:rPr>
                <w:color w:val="1E1E1E"/>
                <w:sz w:val="16"/>
              </w:rPr>
              <w:t>EPD, Schadstoffgrenzen, Lebenszykluskosten, zirkuläre Ausschreibung</w:t>
            </w:r>
          </w:p>
        </w:tc>
      </w:tr>
    </w:tbl>
    <w:p>
      <w:pPr>
        <w:pStyle w:val="Heading1"/>
        <w:spacing w:before="200" w:after="80"/>
      </w:pPr>
      <w:r>
        <w:rPr>
          <w:rFonts w:ascii="Georgia" w:hAnsi="Georgia"/>
          <w:b/>
          <w:color w:val="081020"/>
        </w:rPr>
        <w:t>17. Berechnungslogik: Supplier Impact Score</w:t>
      </w:r>
    </w:p>
    <w:p>
      <w:pPr>
        <w:spacing w:after="120" w:line="269" w:lineRule="auto"/>
      </w:pPr>
      <w:r>
        <w:t>Für die Praxis braucht der Einkauf eine einfache, aber nicht simplifizierende Berechnungslogik. Der Supplier Impact Score kann als mehrstufiges Modell verstanden werden. Zuerst werden Mindestbedingungen geprüft. Dann werden relevante WÖk-ID-Familien je Warengruppe ausgewählt. Danach werden Datenqualität, Wirkungsscore und Verbesserungsfähigkeit getrennt bewertet.</w:t>
      </w:r>
    </w:p>
    <w:p>
      <w:pPr>
        <w:spacing w:after="120" w:line="269" w:lineRule="auto"/>
      </w:pPr>
      <w:r>
        <w:t>Die Wirkungsökonomie empfiehlt keine reine Durchschnittsbildung. Bei roten Linien gilt Nichtkompensation. Wenn Kinderarbeit, schwere Umweltverstöße oder systematische Datenverweigerung vorliegen, kann ein Lieferant nicht durch gute CO2-Werte ausgeglichen werden. Gleichzeitig müssen Verbesserungsprogramme möglich sein, wenn Defizite beherrschbar, transparent und mit Meilensteinen versehen sind.</w:t>
      </w:r>
    </w:p>
    <w:p>
      <w:pPr>
        <w:spacing w:after="120" w:line="269" w:lineRule="auto"/>
      </w:pPr>
      <w:r>
        <w:t>Ein praxistauglicher Supplier Impact Score besteht daher aus vier Komponenten: Mindeststatus, Kernwirkung, Datenqualität und Transformationspfad. Diese werden nicht blind addiert, sondern in einer Entscheidungsmatrix verbunden.</w:t>
      </w:r>
    </w:p>
    <w:tbl>
      <w:tblPr>
        <w:tblStyle w:val="TableGrid"/>
        <w:tblW w:type="auto" w:w="0"/>
        <w:jc w:val="center"/>
        <w:tblLook w:firstColumn="1" w:firstRow="1" w:lastColumn="0" w:lastRow="0" w:noHBand="0" w:noVBand="1" w:val="04A0"/>
      </w:tblPr>
      <w:tblGrid>
        <w:gridCol w:w="3331"/>
        <w:gridCol w:w="3331"/>
        <w:gridCol w:w="3331"/>
      </w:tblGrid>
      <w:tr>
        <w:trPr>
          <w:tblHeader w:val="true"/>
        </w:trPr>
        <w:tc>
          <w:tcPr>
            <w:tcW w:type="dxa" w:w="2448"/>
            <w:shd w:fill="EDE6D9"/>
            <w:vAlign w:val="center"/>
            <w:tcBorders>
              <w:top w:val="single" w:sz="4" w:color="D8D0C4"/>
              <w:left w:val="single" w:sz="4" w:color="D8D0C4"/>
              <w:bottom w:val="single" w:sz="4" w:color="D8D0C4"/>
              <w:right w:val="single" w:sz="4" w:color="D8D0C4"/>
            </w:tcBorders>
          </w:tcPr>
          <w:p>
            <w:r>
              <w:rPr>
                <w:b/>
                <w:color w:val="081020"/>
                <w:sz w:val="17"/>
              </w:rPr>
              <w:t>Baustein</w:t>
            </w:r>
          </w:p>
        </w:tc>
        <w:tc>
          <w:tcPr>
            <w:tcW w:type="dxa" w:w="4320"/>
            <w:shd w:fill="EDE6D9"/>
            <w:vAlign w:val="center"/>
            <w:tcBorders>
              <w:top w:val="single" w:sz="4" w:color="D8D0C4"/>
              <w:left w:val="single" w:sz="4" w:color="D8D0C4"/>
              <w:bottom w:val="single" w:sz="4" w:color="D8D0C4"/>
              <w:right w:val="single" w:sz="4" w:color="D8D0C4"/>
            </w:tcBorders>
          </w:tcPr>
          <w:p>
            <w:r>
              <w:rPr>
                <w:b/>
                <w:color w:val="081020"/>
                <w:sz w:val="17"/>
              </w:rPr>
              <w:t>Beispielhafte Bewertung</w:t>
            </w:r>
          </w:p>
        </w:tc>
        <w:tc>
          <w:tcPr>
            <w:tcW w:type="dxa" w:w="3312"/>
            <w:shd w:fill="EDE6D9"/>
            <w:vAlign w:val="center"/>
            <w:tcBorders>
              <w:top w:val="single" w:sz="4" w:color="D8D0C4"/>
              <w:left w:val="single" w:sz="4" w:color="D8D0C4"/>
              <w:bottom w:val="single" w:sz="4" w:color="D8D0C4"/>
              <w:right w:val="single" w:sz="4" w:color="D8D0C4"/>
            </w:tcBorders>
          </w:tcPr>
          <w:p>
            <w:r>
              <w:rPr>
                <w:b/>
                <w:color w:val="081020"/>
                <w:sz w:val="17"/>
              </w:rPr>
              <w:t>Entscheidungsfolge</w:t>
            </w:r>
          </w:p>
        </w:tc>
      </w:tr>
      <w:tr>
        <w:tc>
          <w:tcPr>
            <w:tcW w:type="dxa" w:w="2448"/>
            <w:vAlign w:val="top"/>
            <w:tcBorders>
              <w:top w:val="single" w:sz="4" w:color="D8D0C4"/>
              <w:left w:val="single" w:sz="4" w:color="D8D0C4"/>
              <w:bottom w:val="single" w:sz="4" w:color="D8D0C4"/>
              <w:right w:val="single" w:sz="4" w:color="D8D0C4"/>
            </w:tcBorders>
          </w:tcPr>
          <w:p>
            <w:r>
              <w:rPr>
                <w:color w:val="1E1E1E"/>
                <w:sz w:val="16"/>
              </w:rPr>
              <w:t>Mindeststatus</w:t>
            </w:r>
          </w:p>
        </w:tc>
        <w:tc>
          <w:tcPr>
            <w:tcW w:type="dxa" w:w="4320"/>
            <w:vAlign w:val="top"/>
            <w:tcBorders>
              <w:top w:val="single" w:sz="4" w:color="D8D0C4"/>
              <w:left w:val="single" w:sz="4" w:color="D8D0C4"/>
              <w:bottom w:val="single" w:sz="4" w:color="D8D0C4"/>
              <w:right w:val="single" w:sz="4" w:color="D8D0C4"/>
            </w:tcBorders>
          </w:tcPr>
          <w:p>
            <w:r>
              <w:rPr>
                <w:color w:val="1E1E1E"/>
                <w:sz w:val="16"/>
              </w:rPr>
              <w:t>rot / gelb / grün</w:t>
            </w:r>
          </w:p>
        </w:tc>
        <w:tc>
          <w:tcPr>
            <w:tcW w:type="dxa" w:w="3312"/>
            <w:vAlign w:val="top"/>
            <w:tcBorders>
              <w:top w:val="single" w:sz="4" w:color="D8D0C4"/>
              <w:left w:val="single" w:sz="4" w:color="D8D0C4"/>
              <w:bottom w:val="single" w:sz="4" w:color="D8D0C4"/>
              <w:right w:val="single" w:sz="4" w:color="D8D0C4"/>
            </w:tcBorders>
          </w:tcPr>
          <w:p>
            <w:r>
              <w:rPr>
                <w:color w:val="1E1E1E"/>
                <w:sz w:val="16"/>
              </w:rPr>
              <w:t>Ausschluss, Übergangsplan oder Zulassung</w:t>
            </w:r>
          </w:p>
        </w:tc>
      </w:tr>
      <w:tr>
        <w:tc>
          <w:tcPr>
            <w:tcW w:type="dxa" w:w="2448"/>
            <w:vAlign w:val="top"/>
            <w:tcBorders>
              <w:top w:val="single" w:sz="4" w:color="D8D0C4"/>
              <w:left w:val="single" w:sz="4" w:color="D8D0C4"/>
              <w:bottom w:val="single" w:sz="4" w:color="D8D0C4"/>
              <w:right w:val="single" w:sz="4" w:color="D8D0C4"/>
            </w:tcBorders>
          </w:tcPr>
          <w:p>
            <w:r>
              <w:rPr>
                <w:color w:val="1E1E1E"/>
                <w:sz w:val="16"/>
              </w:rPr>
              <w:t>Kernwirkung</w:t>
            </w:r>
          </w:p>
        </w:tc>
        <w:tc>
          <w:tcPr>
            <w:tcW w:type="dxa" w:w="4320"/>
            <w:vAlign w:val="top"/>
            <w:tcBorders>
              <w:top w:val="single" w:sz="4" w:color="D8D0C4"/>
              <w:left w:val="single" w:sz="4" w:color="D8D0C4"/>
              <w:bottom w:val="single" w:sz="4" w:color="D8D0C4"/>
              <w:right w:val="single" w:sz="4" w:color="D8D0C4"/>
            </w:tcBorders>
          </w:tcPr>
          <w:p>
            <w:r>
              <w:rPr>
                <w:color w:val="1E1E1E"/>
                <w:sz w:val="16"/>
              </w:rPr>
              <w:t>-3 bis +3 nach Scorecard</w:t>
            </w:r>
          </w:p>
        </w:tc>
        <w:tc>
          <w:tcPr>
            <w:tcW w:type="dxa" w:w="3312"/>
            <w:vAlign w:val="top"/>
            <w:tcBorders>
              <w:top w:val="single" w:sz="4" w:color="D8D0C4"/>
              <w:left w:val="single" w:sz="4" w:color="D8D0C4"/>
              <w:bottom w:val="single" w:sz="4" w:color="D8D0C4"/>
              <w:right w:val="single" w:sz="4" w:color="D8D0C4"/>
            </w:tcBorders>
          </w:tcPr>
          <w:p>
            <w:r>
              <w:rPr>
                <w:color w:val="1E1E1E"/>
                <w:sz w:val="16"/>
              </w:rPr>
              <w:t>Einkaufspriorität, Preis- und Mengenlogik</w:t>
            </w:r>
          </w:p>
        </w:tc>
      </w:tr>
      <w:tr>
        <w:tc>
          <w:tcPr>
            <w:tcW w:type="dxa" w:w="2448"/>
            <w:vAlign w:val="top"/>
            <w:tcBorders>
              <w:top w:val="single" w:sz="4" w:color="D8D0C4"/>
              <w:left w:val="single" w:sz="4" w:color="D8D0C4"/>
              <w:bottom w:val="single" w:sz="4" w:color="D8D0C4"/>
              <w:right w:val="single" w:sz="4" w:color="D8D0C4"/>
            </w:tcBorders>
          </w:tcPr>
          <w:p>
            <w:r>
              <w:rPr>
                <w:color w:val="1E1E1E"/>
                <w:sz w:val="16"/>
              </w:rPr>
              <w:t>Datenqualität</w:t>
            </w:r>
          </w:p>
        </w:tc>
        <w:tc>
          <w:tcPr>
            <w:tcW w:type="dxa" w:w="4320"/>
            <w:vAlign w:val="top"/>
            <w:tcBorders>
              <w:top w:val="single" w:sz="4" w:color="D8D0C4"/>
              <w:left w:val="single" w:sz="4" w:color="D8D0C4"/>
              <w:bottom w:val="single" w:sz="4" w:color="D8D0C4"/>
              <w:right w:val="single" w:sz="4" w:color="D8D0C4"/>
            </w:tcBorders>
          </w:tcPr>
          <w:p>
            <w:r>
              <w:rPr>
                <w:color w:val="1E1E1E"/>
                <w:sz w:val="16"/>
              </w:rPr>
              <w:t>A bis D</w:t>
            </w:r>
          </w:p>
        </w:tc>
        <w:tc>
          <w:tcPr>
            <w:tcW w:type="dxa" w:w="3312"/>
            <w:vAlign w:val="top"/>
            <w:tcBorders>
              <w:top w:val="single" w:sz="4" w:color="D8D0C4"/>
              <w:left w:val="single" w:sz="4" w:color="D8D0C4"/>
              <w:bottom w:val="single" w:sz="4" w:color="D8D0C4"/>
              <w:right w:val="single" w:sz="4" w:color="D8D0C4"/>
            </w:tcBorders>
          </w:tcPr>
          <w:p>
            <w:r>
              <w:rPr>
                <w:color w:val="1E1E1E"/>
                <w:sz w:val="16"/>
              </w:rPr>
              <w:t>Assurancebedarf, konservative Einstufung bei Lücken</w:t>
            </w:r>
          </w:p>
        </w:tc>
      </w:tr>
      <w:tr>
        <w:tc>
          <w:tcPr>
            <w:tcW w:type="dxa" w:w="2448"/>
            <w:vAlign w:val="top"/>
            <w:tcBorders>
              <w:top w:val="single" w:sz="4" w:color="D8D0C4"/>
              <w:left w:val="single" w:sz="4" w:color="D8D0C4"/>
              <w:bottom w:val="single" w:sz="4" w:color="D8D0C4"/>
              <w:right w:val="single" w:sz="4" w:color="D8D0C4"/>
            </w:tcBorders>
          </w:tcPr>
          <w:p>
            <w:r>
              <w:rPr>
                <w:color w:val="1E1E1E"/>
                <w:sz w:val="16"/>
              </w:rPr>
              <w:t>Transformationspfad</w:t>
            </w:r>
          </w:p>
        </w:tc>
        <w:tc>
          <w:tcPr>
            <w:tcW w:type="dxa" w:w="4320"/>
            <w:vAlign w:val="top"/>
            <w:tcBorders>
              <w:top w:val="single" w:sz="4" w:color="D8D0C4"/>
              <w:left w:val="single" w:sz="4" w:color="D8D0C4"/>
              <w:bottom w:val="single" w:sz="4" w:color="D8D0C4"/>
              <w:right w:val="single" w:sz="4" w:color="D8D0C4"/>
            </w:tcBorders>
          </w:tcPr>
          <w:p>
            <w:r>
              <w:rPr>
                <w:color w:val="1E1E1E"/>
                <w:sz w:val="16"/>
              </w:rPr>
              <w:t>kein Plan / Plan / geprüfte Umsetzung</w:t>
            </w:r>
          </w:p>
        </w:tc>
        <w:tc>
          <w:tcPr>
            <w:tcW w:type="dxa" w:w="3312"/>
            <w:vAlign w:val="top"/>
            <w:tcBorders>
              <w:top w:val="single" w:sz="4" w:color="D8D0C4"/>
              <w:left w:val="single" w:sz="4" w:color="D8D0C4"/>
              <w:bottom w:val="single" w:sz="4" w:color="D8D0C4"/>
              <w:right w:val="single" w:sz="4" w:color="D8D0C4"/>
            </w:tcBorders>
          </w:tcPr>
          <w:p>
            <w:r>
              <w:rPr>
                <w:color w:val="1E1E1E"/>
                <w:sz w:val="16"/>
              </w:rPr>
              <w:t>Lieferantenentwicklung oder strategische Partnerschaft</w:t>
            </w:r>
          </w:p>
        </w:tc>
      </w:tr>
    </w:tbl>
    <w:tbl>
      <w:tblPr>
        <w:tblStyle w:val="TableGrid"/>
        <w:tblW w:type="auto" w:w="0"/>
        <w:tblLook w:firstColumn="1" w:firstRow="1" w:lastColumn="0" w:lastRow="0" w:noHBand="0" w:noVBand="1" w:val="04A0"/>
      </w:tblPr>
      <w:tblGrid>
        <w:gridCol w:w="9994"/>
      </w:tblGrid>
      <w:tr>
        <w:tc>
          <w:tcPr>
            <w:tcW w:type="dxa" w:w="9994"/>
            <w:shd w:fill="F8F5EE"/>
            <w:tcBorders>
              <w:top w:val="single" w:sz="6" w:color="C8D8D0"/>
              <w:left w:val="single" w:sz="6" w:color="C8D8D0"/>
              <w:bottom w:val="single" w:sz="6" w:color="C8D8D0"/>
              <w:right w:val="single" w:sz="6" w:color="C8D8D0"/>
            </w:tcBorders>
          </w:tcPr>
          <w:p>
            <w:r>
              <w:rPr>
                <w:b/>
                <w:color w:val="2A7D5C"/>
                <w:sz w:val="19"/>
              </w:rPr>
              <w:t>Formel als Arbeitslogik</w:t>
            </w:r>
          </w:p>
          <w:p>
            <w:pPr>
              <w:spacing w:after="60"/>
            </w:pPr>
            <w:r>
              <w:rPr>
                <w:sz w:val="17"/>
              </w:rPr>
              <w:t>Nicht: Durchschnitt aller schönen Kennzahlen.</w:t>
            </w:r>
          </w:p>
          <w:p>
            <w:pPr>
              <w:spacing w:after="60"/>
            </w:pPr>
            <w:r>
              <w:rPr>
                <w:sz w:val="17"/>
              </w:rPr>
              <w:t>Sondern: Mindestbedingungen + schwächstes kritisches Feld + Datenqualität + glaubhafter Transformationspfad.</w:t>
            </w:r>
          </w:p>
        </w:tc>
      </w:tr>
    </w:tbl>
    <w:p>
      <w:pPr>
        <w:pStyle w:val="Heading1"/>
        <w:spacing w:before="200" w:after="80"/>
      </w:pPr>
      <w:r>
        <w:rPr>
          <w:rFonts w:ascii="Georgia" w:hAnsi="Georgia"/>
          <w:b/>
          <w:color w:val="081020"/>
        </w:rPr>
        <w:t>18. Datenqualitätsstufen und Assurance</w:t>
      </w:r>
    </w:p>
    <w:p>
      <w:pPr>
        <w:spacing w:after="120" w:line="269" w:lineRule="auto"/>
      </w:pPr>
      <w:r>
        <w:t>Ohne Datenqualität wird wirkungsorientierter Einkauf anfällig für Impact-Washing. Darum muss jede Zahl einen Datenstatus erhalten. Eine CO2-Zahl aus auditierter Produkt-EPD hat eine andere Qualität als eine Selbstauskunft ohne Nachweis. Eine Lieferantenerklärung kann ein Anfang sein, aber nicht dauerhaft die gleiche Steuerungswirkung haben wie geprüfte Daten.</w:t>
      </w:r>
    </w:p>
    <w:tbl>
      <w:tblPr>
        <w:tblStyle w:val="TableGrid"/>
        <w:tblW w:type="auto" w:w="0"/>
        <w:jc w:val="center"/>
        <w:tblLook w:firstColumn="1" w:firstRow="1" w:lastColumn="0" w:lastRow="0" w:noHBand="0" w:noVBand="1" w:val="04A0"/>
      </w:tblPr>
      <w:tblGrid>
        <w:gridCol w:w="3331"/>
        <w:gridCol w:w="3331"/>
        <w:gridCol w:w="3331"/>
      </w:tblGrid>
      <w:tr>
        <w:trPr>
          <w:tblHeader w:val="true"/>
        </w:trPr>
        <w:tc>
          <w:tcPr>
            <w:tcW w:type="dxa" w:w="1440"/>
            <w:shd w:fill="EDE6D9"/>
            <w:vAlign w:val="center"/>
            <w:tcBorders>
              <w:top w:val="single" w:sz="4" w:color="D8D0C4"/>
              <w:left w:val="single" w:sz="4" w:color="D8D0C4"/>
              <w:bottom w:val="single" w:sz="4" w:color="D8D0C4"/>
              <w:right w:val="single" w:sz="4" w:color="D8D0C4"/>
            </w:tcBorders>
          </w:tcPr>
          <w:p>
            <w:r>
              <w:rPr>
                <w:b/>
                <w:color w:val="081020"/>
                <w:sz w:val="17"/>
              </w:rPr>
              <w:t>Stufe</w:t>
            </w:r>
          </w:p>
        </w:tc>
        <w:tc>
          <w:tcPr>
            <w:tcW w:type="dxa" w:w="5472"/>
            <w:shd w:fill="EDE6D9"/>
            <w:vAlign w:val="center"/>
            <w:tcBorders>
              <w:top w:val="single" w:sz="4" w:color="D8D0C4"/>
              <w:left w:val="single" w:sz="4" w:color="D8D0C4"/>
              <w:bottom w:val="single" w:sz="4" w:color="D8D0C4"/>
              <w:right w:val="single" w:sz="4" w:color="D8D0C4"/>
            </w:tcBorders>
          </w:tcPr>
          <w:p>
            <w:r>
              <w:rPr>
                <w:b/>
                <w:color w:val="081020"/>
                <w:sz w:val="17"/>
              </w:rPr>
              <w:t>Beschreibung</w:t>
            </w:r>
          </w:p>
        </w:tc>
        <w:tc>
          <w:tcPr>
            <w:tcW w:type="dxa" w:w="3168"/>
            <w:shd w:fill="EDE6D9"/>
            <w:vAlign w:val="center"/>
            <w:tcBorders>
              <w:top w:val="single" w:sz="4" w:color="D8D0C4"/>
              <w:left w:val="single" w:sz="4" w:color="D8D0C4"/>
              <w:bottom w:val="single" w:sz="4" w:color="D8D0C4"/>
              <w:right w:val="single" w:sz="4" w:color="D8D0C4"/>
            </w:tcBorders>
          </w:tcPr>
          <w:p>
            <w:r>
              <w:rPr>
                <w:b/>
                <w:color w:val="081020"/>
                <w:sz w:val="17"/>
              </w:rPr>
              <w:t>Nutzung</w:t>
            </w:r>
          </w:p>
        </w:tc>
      </w:tr>
      <w:tr>
        <w:tc>
          <w:tcPr>
            <w:tcW w:type="dxa" w:w="1440"/>
            <w:vAlign w:val="top"/>
            <w:tcBorders>
              <w:top w:val="single" w:sz="4" w:color="D8D0C4"/>
              <w:left w:val="single" w:sz="4" w:color="D8D0C4"/>
              <w:bottom w:val="single" w:sz="4" w:color="D8D0C4"/>
              <w:right w:val="single" w:sz="4" w:color="D8D0C4"/>
            </w:tcBorders>
          </w:tcPr>
          <w:p>
            <w:r>
              <w:rPr>
                <w:color w:val="1E1E1E"/>
                <w:sz w:val="16"/>
              </w:rPr>
              <w:t>A</w:t>
            </w:r>
          </w:p>
        </w:tc>
        <w:tc>
          <w:tcPr>
            <w:tcW w:type="dxa" w:w="5472"/>
            <w:vAlign w:val="top"/>
            <w:tcBorders>
              <w:top w:val="single" w:sz="4" w:color="D8D0C4"/>
              <w:left w:val="single" w:sz="4" w:color="D8D0C4"/>
              <w:bottom w:val="single" w:sz="4" w:color="D8D0C4"/>
              <w:right w:val="single" w:sz="4" w:color="D8D0C4"/>
            </w:tcBorders>
          </w:tcPr>
          <w:p>
            <w:r>
              <w:rPr>
                <w:color w:val="1E1E1E"/>
                <w:sz w:val="16"/>
              </w:rPr>
              <w:t>extern geprüft, produktspezifisch, aktuell</w:t>
            </w:r>
          </w:p>
        </w:tc>
        <w:tc>
          <w:tcPr>
            <w:tcW w:type="dxa" w:w="3168"/>
            <w:vAlign w:val="top"/>
            <w:tcBorders>
              <w:top w:val="single" w:sz="4" w:color="D8D0C4"/>
              <w:left w:val="single" w:sz="4" w:color="D8D0C4"/>
              <w:bottom w:val="single" w:sz="4" w:color="D8D0C4"/>
              <w:right w:val="single" w:sz="4" w:color="D8D0C4"/>
            </w:tcBorders>
          </w:tcPr>
          <w:p>
            <w:r>
              <w:rPr>
                <w:color w:val="1E1E1E"/>
                <w:sz w:val="16"/>
              </w:rPr>
              <w:t>voll steuerungsfähig</w:t>
            </w:r>
          </w:p>
        </w:tc>
      </w:tr>
      <w:tr>
        <w:tc>
          <w:tcPr>
            <w:tcW w:type="dxa" w:w="1440"/>
            <w:vAlign w:val="top"/>
            <w:tcBorders>
              <w:top w:val="single" w:sz="4" w:color="D8D0C4"/>
              <w:left w:val="single" w:sz="4" w:color="D8D0C4"/>
              <w:bottom w:val="single" w:sz="4" w:color="D8D0C4"/>
              <w:right w:val="single" w:sz="4" w:color="D8D0C4"/>
            </w:tcBorders>
          </w:tcPr>
          <w:p>
            <w:r>
              <w:rPr>
                <w:color w:val="1E1E1E"/>
                <w:sz w:val="16"/>
              </w:rPr>
              <w:t>B</w:t>
            </w:r>
          </w:p>
        </w:tc>
        <w:tc>
          <w:tcPr>
            <w:tcW w:type="dxa" w:w="5472"/>
            <w:vAlign w:val="top"/>
            <w:tcBorders>
              <w:top w:val="single" w:sz="4" w:color="D8D0C4"/>
              <w:left w:val="single" w:sz="4" w:color="D8D0C4"/>
              <w:bottom w:val="single" w:sz="4" w:color="D8D0C4"/>
              <w:right w:val="single" w:sz="4" w:color="D8D0C4"/>
            </w:tcBorders>
          </w:tcPr>
          <w:p>
            <w:r>
              <w:rPr>
                <w:color w:val="1E1E1E"/>
                <w:sz w:val="16"/>
              </w:rPr>
              <w:t>intern plausibilisiert, standort- oder produktgruppenspezifisch</w:t>
            </w:r>
          </w:p>
        </w:tc>
        <w:tc>
          <w:tcPr>
            <w:tcW w:type="dxa" w:w="3168"/>
            <w:vAlign w:val="top"/>
            <w:tcBorders>
              <w:top w:val="single" w:sz="4" w:color="D8D0C4"/>
              <w:left w:val="single" w:sz="4" w:color="D8D0C4"/>
              <w:bottom w:val="single" w:sz="4" w:color="D8D0C4"/>
              <w:right w:val="single" w:sz="4" w:color="D8D0C4"/>
            </w:tcBorders>
          </w:tcPr>
          <w:p>
            <w:r>
              <w:rPr>
                <w:color w:val="1E1E1E"/>
                <w:sz w:val="16"/>
              </w:rPr>
              <w:t>steuerungsfähig mit Prüfhinweis</w:t>
            </w:r>
          </w:p>
        </w:tc>
      </w:tr>
      <w:tr>
        <w:tc>
          <w:tcPr>
            <w:tcW w:type="dxa" w:w="1440"/>
            <w:vAlign w:val="top"/>
            <w:tcBorders>
              <w:top w:val="single" w:sz="4" w:color="D8D0C4"/>
              <w:left w:val="single" w:sz="4" w:color="D8D0C4"/>
              <w:bottom w:val="single" w:sz="4" w:color="D8D0C4"/>
              <w:right w:val="single" w:sz="4" w:color="D8D0C4"/>
            </w:tcBorders>
          </w:tcPr>
          <w:p>
            <w:r>
              <w:rPr>
                <w:color w:val="1E1E1E"/>
                <w:sz w:val="16"/>
              </w:rPr>
              <w:t>C</w:t>
            </w:r>
          </w:p>
        </w:tc>
        <w:tc>
          <w:tcPr>
            <w:tcW w:type="dxa" w:w="5472"/>
            <w:vAlign w:val="top"/>
            <w:tcBorders>
              <w:top w:val="single" w:sz="4" w:color="D8D0C4"/>
              <w:left w:val="single" w:sz="4" w:color="D8D0C4"/>
              <w:bottom w:val="single" w:sz="4" w:color="D8D0C4"/>
              <w:right w:val="single" w:sz="4" w:color="D8D0C4"/>
            </w:tcBorders>
          </w:tcPr>
          <w:p>
            <w:r>
              <w:rPr>
                <w:color w:val="1E1E1E"/>
                <w:sz w:val="16"/>
              </w:rPr>
              <w:t>Selbstauskunft oder Branchenwert</w:t>
            </w:r>
          </w:p>
        </w:tc>
        <w:tc>
          <w:tcPr>
            <w:tcW w:type="dxa" w:w="3168"/>
            <w:vAlign w:val="top"/>
            <w:tcBorders>
              <w:top w:val="single" w:sz="4" w:color="D8D0C4"/>
              <w:left w:val="single" w:sz="4" w:color="D8D0C4"/>
              <w:bottom w:val="single" w:sz="4" w:color="D8D0C4"/>
              <w:right w:val="single" w:sz="4" w:color="D8D0C4"/>
            </w:tcBorders>
          </w:tcPr>
          <w:p>
            <w:r>
              <w:rPr>
                <w:color w:val="1E1E1E"/>
                <w:sz w:val="16"/>
              </w:rPr>
              <w:t>nur vorläufig, konservative Einstufung</w:t>
            </w:r>
          </w:p>
        </w:tc>
      </w:tr>
      <w:tr>
        <w:tc>
          <w:tcPr>
            <w:tcW w:type="dxa" w:w="1440"/>
            <w:vAlign w:val="top"/>
            <w:tcBorders>
              <w:top w:val="single" w:sz="4" w:color="D8D0C4"/>
              <w:left w:val="single" w:sz="4" w:color="D8D0C4"/>
              <w:bottom w:val="single" w:sz="4" w:color="D8D0C4"/>
              <w:right w:val="single" w:sz="4" w:color="D8D0C4"/>
            </w:tcBorders>
          </w:tcPr>
          <w:p>
            <w:r>
              <w:rPr>
                <w:color w:val="1E1E1E"/>
                <w:sz w:val="16"/>
              </w:rPr>
              <w:t>D</w:t>
            </w:r>
          </w:p>
        </w:tc>
        <w:tc>
          <w:tcPr>
            <w:tcW w:type="dxa" w:w="5472"/>
            <w:vAlign w:val="top"/>
            <w:tcBorders>
              <w:top w:val="single" w:sz="4" w:color="D8D0C4"/>
              <w:left w:val="single" w:sz="4" w:color="D8D0C4"/>
              <w:bottom w:val="single" w:sz="4" w:color="D8D0C4"/>
              <w:right w:val="single" w:sz="4" w:color="D8D0C4"/>
            </w:tcBorders>
          </w:tcPr>
          <w:p>
            <w:r>
              <w:rPr>
                <w:color w:val="1E1E1E"/>
                <w:sz w:val="16"/>
              </w:rPr>
              <w:t>fehlende Daten bei relevantem Risiko</w:t>
            </w:r>
          </w:p>
        </w:tc>
        <w:tc>
          <w:tcPr>
            <w:tcW w:type="dxa" w:w="3168"/>
            <w:vAlign w:val="top"/>
            <w:tcBorders>
              <w:top w:val="single" w:sz="4" w:color="D8D0C4"/>
              <w:left w:val="single" w:sz="4" w:color="D8D0C4"/>
              <w:bottom w:val="single" w:sz="4" w:color="D8D0C4"/>
              <w:right w:val="single" w:sz="4" w:color="D8D0C4"/>
            </w:tcBorders>
          </w:tcPr>
          <w:p>
            <w:r>
              <w:rPr>
                <w:color w:val="1E1E1E"/>
                <w:sz w:val="16"/>
              </w:rPr>
              <w:t>Datenplan, Risikoaufschlag, keine Bonuswirkung</w:t>
            </w:r>
          </w:p>
        </w:tc>
      </w:tr>
    </w:tbl>
    <w:p>
      <w:pPr>
        <w:spacing w:after="120" w:line="269" w:lineRule="auto"/>
      </w:pPr>
      <w:r>
        <w:t>Assurance muss risikobasiert erfolgen. Nicht jede Schraube braucht dieselbe Prüftiefe. Hohe Einkaufsvolumina, kritische Länder, rote Wirkungsfelder und strategische Materialien erfordern höhere Nachweisqualität. Kleine, risikoarme Lieferanten können mit vereinfachten Verfahren arbeiten.</w:t>
      </w:r>
    </w:p>
    <w:p>
      <w:pPr>
        <w:pStyle w:val="Heading1"/>
        <w:spacing w:before="200" w:after="80"/>
      </w:pPr>
      <w:r>
        <w:rPr>
          <w:rFonts w:ascii="Georgia" w:hAnsi="Georgia"/>
          <w:b/>
          <w:color w:val="081020"/>
        </w:rPr>
        <w:t>19. Implementierungspfad im Unternehmen</w:t>
      </w:r>
    </w:p>
    <w:p>
      <w:pPr>
        <w:spacing w:after="120" w:line="269" w:lineRule="auto"/>
      </w:pPr>
      <w:r>
        <w:t>Die Einführung wirkungsorientierter Beschaffung sollte nicht als Big Bang erfolgen. Sinnvoll ist ein gestufter Umsetzungsplan, der mit kritischen Warengruppen beginnt und dann auf weitere Kategorien ausweitet.</w:t>
      </w:r>
    </w:p>
    <w:tbl>
      <w:tblPr>
        <w:tblStyle w:val="TableGrid"/>
        <w:tblW w:type="auto" w:w="0"/>
        <w:jc w:val="center"/>
        <w:tblLook w:firstColumn="1" w:firstRow="1" w:lastColumn="0" w:lastRow="0" w:noHBand="0" w:noVBand="1" w:val="04A0"/>
      </w:tblPr>
      <w:tblGrid>
        <w:gridCol w:w="3331"/>
        <w:gridCol w:w="3331"/>
        <w:gridCol w:w="3331"/>
      </w:tblGrid>
      <w:tr>
        <w:trPr>
          <w:tblHeader w:val="true"/>
        </w:trPr>
        <w:tc>
          <w:tcPr>
            <w:tcW w:type="dxa" w:w="1728"/>
            <w:shd w:fill="EDE6D9"/>
            <w:vAlign w:val="center"/>
            <w:tcBorders>
              <w:top w:val="single" w:sz="4" w:color="D8D0C4"/>
              <w:left w:val="single" w:sz="4" w:color="D8D0C4"/>
              <w:bottom w:val="single" w:sz="4" w:color="D8D0C4"/>
              <w:right w:val="single" w:sz="4" w:color="D8D0C4"/>
            </w:tcBorders>
          </w:tcPr>
          <w:p>
            <w:r>
              <w:rPr>
                <w:b/>
                <w:color w:val="081020"/>
                <w:sz w:val="17"/>
              </w:rPr>
              <w:t>Zeitraum</w:t>
            </w:r>
          </w:p>
        </w:tc>
        <w:tc>
          <w:tcPr>
            <w:tcW w:type="dxa" w:w="4896"/>
            <w:shd w:fill="EDE6D9"/>
            <w:vAlign w:val="center"/>
            <w:tcBorders>
              <w:top w:val="single" w:sz="4" w:color="D8D0C4"/>
              <w:left w:val="single" w:sz="4" w:color="D8D0C4"/>
              <w:bottom w:val="single" w:sz="4" w:color="D8D0C4"/>
              <w:right w:val="single" w:sz="4" w:color="D8D0C4"/>
            </w:tcBorders>
          </w:tcPr>
          <w:p>
            <w:r>
              <w:rPr>
                <w:b/>
                <w:color w:val="081020"/>
                <w:sz w:val="17"/>
              </w:rPr>
              <w:t>Schritt</w:t>
            </w:r>
          </w:p>
        </w:tc>
        <w:tc>
          <w:tcPr>
            <w:tcW w:type="dxa" w:w="4320"/>
            <w:shd w:fill="EDE6D9"/>
            <w:vAlign w:val="center"/>
            <w:tcBorders>
              <w:top w:val="single" w:sz="4" w:color="D8D0C4"/>
              <w:left w:val="single" w:sz="4" w:color="D8D0C4"/>
              <w:bottom w:val="single" w:sz="4" w:color="D8D0C4"/>
              <w:right w:val="single" w:sz="4" w:color="D8D0C4"/>
            </w:tcBorders>
          </w:tcPr>
          <w:p>
            <w:r>
              <w:rPr>
                <w:b/>
                <w:color w:val="081020"/>
                <w:sz w:val="17"/>
              </w:rPr>
              <w:t>Ergebnis</w:t>
            </w:r>
          </w:p>
        </w:tc>
      </w:tr>
      <w:tr>
        <w:tc>
          <w:tcPr>
            <w:tcW w:type="dxa" w:w="1728"/>
            <w:vAlign w:val="top"/>
            <w:tcBorders>
              <w:top w:val="single" w:sz="4" w:color="D8D0C4"/>
              <w:left w:val="single" w:sz="4" w:color="D8D0C4"/>
              <w:bottom w:val="single" w:sz="4" w:color="D8D0C4"/>
              <w:right w:val="single" w:sz="4" w:color="D8D0C4"/>
            </w:tcBorders>
          </w:tcPr>
          <w:p>
            <w:r>
              <w:rPr>
                <w:color w:val="1E1E1E"/>
                <w:sz w:val="16"/>
              </w:rPr>
              <w:t>0-3 Monate</w:t>
            </w:r>
          </w:p>
        </w:tc>
        <w:tc>
          <w:tcPr>
            <w:tcW w:type="dxa" w:w="4896"/>
            <w:vAlign w:val="top"/>
            <w:tcBorders>
              <w:top w:val="single" w:sz="4" w:color="D8D0C4"/>
              <w:left w:val="single" w:sz="4" w:color="D8D0C4"/>
              <w:bottom w:val="single" w:sz="4" w:color="D8D0C4"/>
              <w:right w:val="single" w:sz="4" w:color="D8D0C4"/>
            </w:tcBorders>
          </w:tcPr>
          <w:p>
            <w:r>
              <w:rPr>
                <w:color w:val="1E1E1E"/>
                <w:sz w:val="16"/>
              </w:rPr>
              <w:t>Warengruppen priorisieren, Datenlage prüfen, rote Linien definieren</w:t>
            </w:r>
          </w:p>
        </w:tc>
        <w:tc>
          <w:tcPr>
            <w:tcW w:type="dxa" w:w="4320"/>
            <w:vAlign w:val="top"/>
            <w:tcBorders>
              <w:top w:val="single" w:sz="4" w:color="D8D0C4"/>
              <w:left w:val="single" w:sz="4" w:color="D8D0C4"/>
              <w:bottom w:val="single" w:sz="4" w:color="D8D0C4"/>
              <w:right w:val="single" w:sz="4" w:color="D8D0C4"/>
            </w:tcBorders>
          </w:tcPr>
          <w:p>
            <w:r>
              <w:rPr>
                <w:color w:val="1E1E1E"/>
                <w:sz w:val="16"/>
              </w:rPr>
              <w:t>Startinventar und Risikokarte</w:t>
            </w:r>
          </w:p>
        </w:tc>
      </w:tr>
      <w:tr>
        <w:tc>
          <w:tcPr>
            <w:tcW w:type="dxa" w:w="1728"/>
            <w:vAlign w:val="top"/>
            <w:tcBorders>
              <w:top w:val="single" w:sz="4" w:color="D8D0C4"/>
              <w:left w:val="single" w:sz="4" w:color="D8D0C4"/>
              <w:bottom w:val="single" w:sz="4" w:color="D8D0C4"/>
              <w:right w:val="single" w:sz="4" w:color="D8D0C4"/>
            </w:tcBorders>
          </w:tcPr>
          <w:p>
            <w:r>
              <w:rPr>
                <w:color w:val="1E1E1E"/>
                <w:sz w:val="16"/>
              </w:rPr>
              <w:t>3-6 Monate</w:t>
            </w:r>
          </w:p>
        </w:tc>
        <w:tc>
          <w:tcPr>
            <w:tcW w:type="dxa" w:w="4896"/>
            <w:vAlign w:val="top"/>
            <w:tcBorders>
              <w:top w:val="single" w:sz="4" w:color="D8D0C4"/>
              <w:left w:val="single" w:sz="4" w:color="D8D0C4"/>
              <w:bottom w:val="single" w:sz="4" w:color="D8D0C4"/>
              <w:right w:val="single" w:sz="4" w:color="D8D0C4"/>
            </w:tcBorders>
          </w:tcPr>
          <w:p>
            <w:r>
              <w:rPr>
                <w:color w:val="1E1E1E"/>
                <w:sz w:val="16"/>
              </w:rPr>
              <w:t>Supplier-Scorecard für Top-Lieferanten testen</w:t>
            </w:r>
          </w:p>
        </w:tc>
        <w:tc>
          <w:tcPr>
            <w:tcW w:type="dxa" w:w="4320"/>
            <w:vAlign w:val="top"/>
            <w:tcBorders>
              <w:top w:val="single" w:sz="4" w:color="D8D0C4"/>
              <w:left w:val="single" w:sz="4" w:color="D8D0C4"/>
              <w:bottom w:val="single" w:sz="4" w:color="D8D0C4"/>
              <w:right w:val="single" w:sz="4" w:color="D8D0C4"/>
            </w:tcBorders>
          </w:tcPr>
          <w:p>
            <w:r>
              <w:rPr>
                <w:color w:val="1E1E1E"/>
                <w:sz w:val="16"/>
              </w:rPr>
              <w:t>Pilotdaten, Feedback, erste Maßnahmen</w:t>
            </w:r>
          </w:p>
        </w:tc>
      </w:tr>
      <w:tr>
        <w:tc>
          <w:tcPr>
            <w:tcW w:type="dxa" w:w="1728"/>
            <w:vAlign w:val="top"/>
            <w:tcBorders>
              <w:top w:val="single" w:sz="4" w:color="D8D0C4"/>
              <w:left w:val="single" w:sz="4" w:color="D8D0C4"/>
              <w:bottom w:val="single" w:sz="4" w:color="D8D0C4"/>
              <w:right w:val="single" w:sz="4" w:color="D8D0C4"/>
            </w:tcBorders>
          </w:tcPr>
          <w:p>
            <w:r>
              <w:rPr>
                <w:color w:val="1E1E1E"/>
                <w:sz w:val="16"/>
              </w:rPr>
              <w:t>6-12 Monate</w:t>
            </w:r>
          </w:p>
        </w:tc>
        <w:tc>
          <w:tcPr>
            <w:tcW w:type="dxa" w:w="4896"/>
            <w:vAlign w:val="top"/>
            <w:tcBorders>
              <w:top w:val="single" w:sz="4" w:color="D8D0C4"/>
              <w:left w:val="single" w:sz="4" w:color="D8D0C4"/>
              <w:bottom w:val="single" w:sz="4" w:color="D8D0C4"/>
              <w:right w:val="single" w:sz="4" w:color="D8D0C4"/>
            </w:tcBorders>
          </w:tcPr>
          <w:p>
            <w:r>
              <w:rPr>
                <w:color w:val="1E1E1E"/>
                <w:sz w:val="16"/>
              </w:rPr>
              <w:t>Ausschreibungen und Verträge anpassen</w:t>
            </w:r>
          </w:p>
        </w:tc>
        <w:tc>
          <w:tcPr>
            <w:tcW w:type="dxa" w:w="4320"/>
            <w:vAlign w:val="top"/>
            <w:tcBorders>
              <w:top w:val="single" w:sz="4" w:color="D8D0C4"/>
              <w:left w:val="single" w:sz="4" w:color="D8D0C4"/>
              <w:bottom w:val="single" w:sz="4" w:color="D8D0C4"/>
              <w:right w:val="single" w:sz="4" w:color="D8D0C4"/>
            </w:tcBorders>
          </w:tcPr>
          <w:p>
            <w:r>
              <w:rPr>
                <w:color w:val="1E1E1E"/>
                <w:sz w:val="16"/>
              </w:rPr>
              <w:t>Wirkungskriterien werden einkaufswirksam</w:t>
            </w:r>
          </w:p>
        </w:tc>
      </w:tr>
      <w:tr>
        <w:tc>
          <w:tcPr>
            <w:tcW w:type="dxa" w:w="1728"/>
            <w:vAlign w:val="top"/>
            <w:tcBorders>
              <w:top w:val="single" w:sz="4" w:color="D8D0C4"/>
              <w:left w:val="single" w:sz="4" w:color="D8D0C4"/>
              <w:bottom w:val="single" w:sz="4" w:color="D8D0C4"/>
              <w:right w:val="single" w:sz="4" w:color="D8D0C4"/>
            </w:tcBorders>
          </w:tcPr>
          <w:p>
            <w:r>
              <w:rPr>
                <w:color w:val="1E1E1E"/>
                <w:sz w:val="16"/>
              </w:rPr>
              <w:t>12-18 Monate</w:t>
            </w:r>
          </w:p>
        </w:tc>
        <w:tc>
          <w:tcPr>
            <w:tcW w:type="dxa" w:w="4896"/>
            <w:vAlign w:val="top"/>
            <w:tcBorders>
              <w:top w:val="single" w:sz="4" w:color="D8D0C4"/>
              <w:left w:val="single" w:sz="4" w:color="D8D0C4"/>
              <w:bottom w:val="single" w:sz="4" w:color="D8D0C4"/>
              <w:right w:val="single" w:sz="4" w:color="D8D0C4"/>
            </w:tcBorders>
          </w:tcPr>
          <w:p>
            <w:r>
              <w:rPr>
                <w:color w:val="1E1E1E"/>
                <w:sz w:val="16"/>
              </w:rPr>
              <w:t>Tooling, ERP/DPP-Schnittstellen, Assurance-Prozess</w:t>
            </w:r>
          </w:p>
        </w:tc>
        <w:tc>
          <w:tcPr>
            <w:tcW w:type="dxa" w:w="4320"/>
            <w:vAlign w:val="top"/>
            <w:tcBorders>
              <w:top w:val="single" w:sz="4" w:color="D8D0C4"/>
              <w:left w:val="single" w:sz="4" w:color="D8D0C4"/>
              <w:bottom w:val="single" w:sz="4" w:color="D8D0C4"/>
              <w:right w:val="single" w:sz="4" w:color="D8D0C4"/>
            </w:tcBorders>
          </w:tcPr>
          <w:p>
            <w:r>
              <w:rPr>
                <w:color w:val="1E1E1E"/>
                <w:sz w:val="16"/>
              </w:rPr>
              <w:t>Skalierbare Daten- und Entscheidungslogik</w:t>
            </w:r>
          </w:p>
        </w:tc>
      </w:tr>
      <w:tr>
        <w:tc>
          <w:tcPr>
            <w:tcW w:type="dxa" w:w="1728"/>
            <w:vAlign w:val="top"/>
            <w:tcBorders>
              <w:top w:val="single" w:sz="4" w:color="D8D0C4"/>
              <w:left w:val="single" w:sz="4" w:color="D8D0C4"/>
              <w:bottom w:val="single" w:sz="4" w:color="D8D0C4"/>
              <w:right w:val="single" w:sz="4" w:color="D8D0C4"/>
            </w:tcBorders>
          </w:tcPr>
          <w:p>
            <w:r>
              <w:rPr>
                <w:color w:val="1E1E1E"/>
                <w:sz w:val="16"/>
              </w:rPr>
              <w:t>18-24 Monate</w:t>
            </w:r>
          </w:p>
        </w:tc>
        <w:tc>
          <w:tcPr>
            <w:tcW w:type="dxa" w:w="4896"/>
            <w:vAlign w:val="top"/>
            <w:tcBorders>
              <w:top w:val="single" w:sz="4" w:color="D8D0C4"/>
              <w:left w:val="single" w:sz="4" w:color="D8D0C4"/>
              <w:bottom w:val="single" w:sz="4" w:color="D8D0C4"/>
              <w:right w:val="single" w:sz="4" w:color="D8D0C4"/>
            </w:tcBorders>
          </w:tcPr>
          <w:p>
            <w:r>
              <w:rPr>
                <w:color w:val="1E1E1E"/>
                <w:sz w:val="16"/>
              </w:rPr>
              <w:t>Bonus-/Malus- und Transformationspartnerschaften ausrollen</w:t>
            </w:r>
          </w:p>
        </w:tc>
        <w:tc>
          <w:tcPr>
            <w:tcW w:type="dxa" w:w="4320"/>
            <w:vAlign w:val="top"/>
            <w:tcBorders>
              <w:top w:val="single" w:sz="4" w:color="D8D0C4"/>
              <w:left w:val="single" w:sz="4" w:color="D8D0C4"/>
              <w:bottom w:val="single" w:sz="4" w:color="D8D0C4"/>
              <w:right w:val="single" w:sz="4" w:color="D8D0C4"/>
            </w:tcBorders>
          </w:tcPr>
          <w:p>
            <w:r>
              <w:rPr>
                <w:color w:val="1E1E1E"/>
                <w:sz w:val="16"/>
              </w:rPr>
              <w:t>Wirkung wird Teil der Einkaufsstrategie</w:t>
            </w:r>
          </w:p>
        </w:tc>
      </w:tr>
    </w:tbl>
    <w:p>
      <w:pPr>
        <w:spacing w:after="120" w:line="269" w:lineRule="auto"/>
      </w:pPr>
      <w:r>
        <w:t>Der Implementierungspfad muss mit bestehenden Einkaufszielen verbunden werden. Wirkung ersetzt Versorgungssicherheit, Preis und Qualität nicht. Sie macht diese Ziele langfristig belastbarer.</w:t>
      </w:r>
    </w:p>
    <w:p>
      <w:pPr>
        <w:pStyle w:val="Heading1"/>
        <w:spacing w:before="200" w:after="80"/>
      </w:pPr>
      <w:r>
        <w:rPr>
          <w:rFonts w:ascii="Georgia" w:hAnsi="Georgia"/>
          <w:b/>
          <w:color w:val="081020"/>
        </w:rPr>
        <w:t>20. Risiken, Missverständnisse und Schutzmechanismen</w:t>
      </w:r>
    </w:p>
    <w:p>
      <w:pPr>
        <w:spacing w:after="120" w:line="269" w:lineRule="auto"/>
      </w:pPr>
      <w:r>
        <w:t>Das wichtigste Missverständnis lautet: wirkungsorientierter Einkauf sei automatisch teurer. Kurzfristig können einzelne Produkte teurer erscheinen. Langfristig reduziert Wirkungseinkauf aber Ausfallkosten, Regulierungskosten, Reputationsrisiken, CO2-Kosten, Qualitätsprobleme, Versicherungslasten und Stranded-Asset-Risiken.</w:t>
      </w:r>
    </w:p>
    <w:p>
      <w:pPr>
        <w:spacing w:after="120" w:line="269" w:lineRule="auto"/>
      </w:pPr>
      <w:r>
        <w:t>Ein zweites Risiko ist Datenbürokratie. Wenn jedes Unternehmen eigene Fragebögen verschickt, entsteht genau der Nachweisdschungel, den die WÖk vermeiden will. Deshalb braucht es standardisierte WÖk-IDs, Datenräume, DPP, branchenspezifische Benchmarks und wiederverwendbare Nachweise.</w:t>
      </w:r>
    </w:p>
    <w:p>
      <w:pPr>
        <w:spacing w:after="120" w:line="269" w:lineRule="auto"/>
      </w:pPr>
      <w:r>
        <w:t>Ein drittes Risiko ist Lieferantenausschluss ohne Entwicklung. Gerade Lieferanten in vulnerablen Regionen brauchen faire Transformationspfade. Wirkungsorientierter Einkauf muss klare rote Linien mit Unterstützung, Fristen und Partnerschaften verbinden.</w:t>
      </w:r>
    </w:p>
    <w:p>
      <w:pPr>
        <w:spacing w:after="40"/>
        <w:ind w:left="317" w:hanging="173"/>
      </w:pPr>
      <w:r>
        <w:rPr>
          <w:color w:val="2A7D5C"/>
        </w:rPr>
        <w:t xml:space="preserve">• </w:t>
      </w:r>
      <w:r>
        <w:t>Keine moralische Pauschalisierung von Ländern oder Lieferanten.</w:t>
      </w:r>
    </w:p>
    <w:p>
      <w:pPr>
        <w:spacing w:after="40"/>
        <w:ind w:left="317" w:hanging="173"/>
      </w:pPr>
      <w:r>
        <w:rPr>
          <w:color w:val="2A7D5C"/>
        </w:rPr>
        <w:t xml:space="preserve">• </w:t>
      </w:r>
      <w:r>
        <w:t>Keine Datenpflicht ohne Nutzen und Proportionalität.</w:t>
      </w:r>
    </w:p>
    <w:p>
      <w:pPr>
        <w:spacing w:after="40"/>
        <w:ind w:left="317" w:hanging="173"/>
      </w:pPr>
      <w:r>
        <w:rPr>
          <w:color w:val="2A7D5C"/>
        </w:rPr>
        <w:t xml:space="preserve">• </w:t>
      </w:r>
      <w:r>
        <w:t>Keine Belohnung leerer Zertifikate.</w:t>
      </w:r>
    </w:p>
    <w:p>
      <w:pPr>
        <w:spacing w:after="40"/>
        <w:ind w:left="317" w:hanging="173"/>
      </w:pPr>
      <w:r>
        <w:rPr>
          <w:color w:val="2A7D5C"/>
        </w:rPr>
        <w:t xml:space="preserve">• </w:t>
      </w:r>
      <w:r>
        <w:t>Keine Kompensation schwerer Schäden durch gute Einzelwerte.</w:t>
      </w:r>
    </w:p>
    <w:p>
      <w:pPr>
        <w:spacing w:after="40"/>
        <w:ind w:left="317" w:hanging="173"/>
      </w:pPr>
      <w:r>
        <w:rPr>
          <w:color w:val="2A7D5C"/>
        </w:rPr>
        <w:t xml:space="preserve">• </w:t>
      </w:r>
      <w:r>
        <w:t>Keine Abwälzung der Transformationskosten auf schwächere Lieferanten.</w:t>
      </w:r>
    </w:p>
    <w:p>
      <w:pPr>
        <w:pStyle w:val="Heading1"/>
        <w:spacing w:before="200" w:after="80"/>
      </w:pPr>
      <w:r>
        <w:rPr>
          <w:rFonts w:ascii="Georgia" w:hAnsi="Georgia"/>
          <w:b/>
          <w:color w:val="081020"/>
        </w:rPr>
        <w:t>Quellen und Anschlussstellen</w:t>
      </w:r>
    </w:p>
    <w:p>
      <w:pPr>
        <w:spacing w:after="120" w:line="269" w:lineRule="auto"/>
      </w:pPr>
      <w:r>
        <w:t>Natalie Weber: Die neue Ordnung des Wohlstands, insbesondere Teil VII Unternehmen, Management und Wertschöpfung sowie Teil V Messung, Daten und Methodik.</w:t>
      </w:r>
    </w:p>
    <w:p>
      <w:pPr>
        <w:spacing w:after="120" w:line="269" w:lineRule="auto"/>
      </w:pPr>
      <w:r>
        <w:t>Führender Begriffsleitfaden der Wirkungsökonomie v1.0: Wirkung ist neutral und relational; bewertet wird am Referenzrahmen SDGs, Agenda 2030 und SDG+.</w:t>
      </w:r>
    </w:p>
    <w:p>
      <w:pPr>
        <w:spacing w:after="120" w:line="269" w:lineRule="auto"/>
      </w:pPr>
      <w:r>
        <w:t>Technische Leitlinien zum Wirkungssteuergesetz (WUStG), Extended v2: WÖk-IDs, Archetypen, Benchmarks, Scorecards, Datenquellen und Assurance.</w:t>
      </w:r>
    </w:p>
    <w:p>
      <w:pPr>
        <w:spacing w:after="120" w:line="269" w:lineRule="auto"/>
      </w:pPr>
      <w:r>
        <w:t>Whitepaper T-SROI: Transformational Social Return on Investment als Standard für Impact Controlling.</w:t>
      </w:r>
    </w:p>
    <w:p>
      <w:pPr>
        <w:spacing w:after="120" w:line="269" w:lineRule="auto"/>
      </w:pPr>
      <w:r>
        <w:t>Europäische Kommission: Corporate Sustainability Reporting / CSRD / ESRS, Stand 2025/2026.</w:t>
      </w:r>
    </w:p>
    <w:p>
      <w:pPr>
        <w:spacing w:after="120" w:line="269" w:lineRule="auto"/>
      </w:pPr>
      <w:r>
        <w:t>EFRAG: ESRS Workstreams, digitale Berichterstattung, XBRL-Taxonomie und Umsetzungshilfen.</w:t>
      </w:r>
    </w:p>
    <w:p>
      <w:pPr>
        <w:spacing w:after="120" w:line="269" w:lineRule="auto"/>
      </w:pPr>
      <w:r>
        <w:t>Europäische Kommission: Corporate Sustainability Due Diligence Directive (Directive 2024/1760).</w:t>
      </w:r>
    </w:p>
    <w:p>
      <w:pPr>
        <w:spacing w:after="120" w:line="269" w:lineRule="auto"/>
      </w:pPr>
      <w:r>
        <w:t>Europäische Kommission: Ecodesign for Sustainable Products Regulation (ESPR) und Digital Product Passport.</w:t>
      </w:r>
    </w:p>
    <w:p>
      <w:pPr>
        <w:spacing w:after="120" w:line="269" w:lineRule="auto"/>
      </w:pPr>
      <w:r>
        <w:t>Wirkungsökonomie in der Lieferkette, Natalie Weber, September 2025.</w:t>
      </w:r>
    </w:p>
    <w:p>
      <w:pPr>
        <w:spacing w:after="120" w:line="269" w:lineRule="auto"/>
      </w:pPr>
      <w:r>
        <w:t>OECD Due Diligence Guidance, ILO-Kernarbeitsnormen und deutsche LkSG-Anschlusslogik als externe Referenzpunkte.</w:t>
      </w:r>
    </w:p>
    <w:p>
      <w:r>
        <w:br w:type="page"/>
      </w:r>
    </w:p>
    <w:p>
      <w:pPr>
        <w:pStyle w:val="Heading1"/>
      </w:pPr>
      <w:r>
        <w:t>Vertiefende Umsetzungsmodule</w:t>
      </w:r>
    </w:p>
    <w:p>
      <w:r>
        <w:t>Die folgenden Module ergänzen das Detailkonzept um konkrete Umsetzungslogik, Reifegrad, Beispiele, Governance und Transformationspfade. Sie dienen als Brücke zwischen Konzept, Website-Online-Volltext, Dossier und späteren Werkzeugen.</w:t>
      </w:r>
    </w:p>
    <w:p>
      <w:pPr>
        <w:pStyle w:val="Heading1"/>
      </w:pPr>
      <w:r>
        <w:t>14. Reifegradmodell für Einkauf nach Wirkung</w:t>
      </w:r>
    </w:p>
    <w:p>
      <w:r>
        <w:t>Für die Umsetzung braucht der Einkauf ein Reifegradmodell. Es verhindert, dass Unternehmen entweder gar nicht beginnen oder sofort perfekte Daten verlangen. Wirkungsorientierte Beschaffung kann in Stufen eingeführt werden: Transparenz, Mindestschutz, Scorecard, Vertragsrückkopplung, Bonus-/Malus-Logik und strategische Portfoliooptimierung.</w:t>
      </w:r>
    </w:p>
    <w:p>
      <w:r>
        <w:t>Der Reifegrad ist kein Marketinglabel. Er beschreibt, wie tief Wirkung tatsächlich in Einkaufsentscheidungen, Lieferantenentwicklung, Verträgen und Controlling verankert ist. Ein Unternehmen kann in einzelnen Warengruppen fortgeschritten sein und in anderen noch am Anfang stehen. Genau deshalb braucht es Warengruppen-Reifegrade statt pauschaler Selbstauskunft.</w:t>
      </w:r>
    </w:p>
    <w:p>
      <w:r>
        <w:t>Wichtig ist die Richtung: Jede Stufe muss die Wirkungsdaten näher an Entscheidungen heranführen. Eine reine Lieferantenbefragung ohne Konsequenz ist noch kein wirkungsorientierter Einkauf.</w:t>
      </w:r>
    </w:p>
    <w:tbl>
      <w:tblPr>
        <w:tblStyle w:val="TableGrid"/>
        <w:tblW w:type="auto" w:w="0"/>
        <w:jc w:val="center"/>
        <w:tblLook w:firstColumn="1" w:firstRow="1" w:lastColumn="0" w:lastRow="0" w:noHBand="0" w:noVBand="1" w:val="04A0"/>
      </w:tblPr>
      <w:tblGrid>
        <w:gridCol w:w="3331"/>
        <w:gridCol w:w="3331"/>
        <w:gridCol w:w="3331"/>
      </w:tblGrid>
      <w:tr>
        <w:tc>
          <w:tcPr>
            <w:tcW w:type="dxa" w:w="3331"/>
            <w:vAlign w:val="top"/>
            <w:shd w:fill="F6F1E8"/>
          </w:tcPr>
          <w:p>
            <w:r/>
            <w:r>
              <w:rPr>
                <w:rFonts w:ascii="Arial" w:hAnsi="Arial"/>
                <w:b/>
                <w:color w:val="0B1020"/>
                <w:sz w:val="16"/>
              </w:rPr>
              <w:t>Stufe</w:t>
            </w:r>
          </w:p>
        </w:tc>
        <w:tc>
          <w:tcPr>
            <w:tcW w:type="dxa" w:w="3331"/>
            <w:vAlign w:val="top"/>
            <w:shd w:fill="F6F1E8"/>
          </w:tcPr>
          <w:p>
            <w:r/>
            <w:r>
              <w:rPr>
                <w:rFonts w:ascii="Arial" w:hAnsi="Arial"/>
                <w:b/>
                <w:color w:val="0B1020"/>
                <w:sz w:val="16"/>
              </w:rPr>
              <w:t>Beschreibung</w:t>
            </w:r>
          </w:p>
        </w:tc>
        <w:tc>
          <w:tcPr>
            <w:tcW w:type="dxa" w:w="3331"/>
            <w:vAlign w:val="top"/>
            <w:shd w:fill="F6F1E8"/>
          </w:tcPr>
          <w:p>
            <w:r/>
            <w:r>
              <w:rPr>
                <w:rFonts w:ascii="Arial" w:hAnsi="Arial"/>
                <w:b/>
                <w:color w:val="0B1020"/>
                <w:sz w:val="16"/>
              </w:rPr>
              <w:t>Nachweis</w:t>
            </w:r>
          </w:p>
        </w:tc>
      </w:tr>
      <w:tr>
        <w:tc>
          <w:tcPr>
            <w:tcW w:type="dxa" w:w="3331"/>
            <w:vAlign w:val="top"/>
          </w:tcPr>
          <w:p>
            <w:r/>
            <w:r>
              <w:rPr>
                <w:rFonts w:ascii="Arial" w:hAnsi="Arial"/>
                <w:b w:val="0"/>
                <w:color w:val="2E2A2C"/>
                <w:sz w:val="14"/>
              </w:rPr>
              <w:t>0 Blind</w:t>
            </w:r>
          </w:p>
        </w:tc>
        <w:tc>
          <w:tcPr>
            <w:tcW w:type="dxa" w:w="3331"/>
            <w:vAlign w:val="top"/>
          </w:tcPr>
          <w:p>
            <w:r/>
            <w:r>
              <w:rPr>
                <w:rFonts w:ascii="Arial" w:hAnsi="Arial"/>
                <w:b w:val="0"/>
                <w:color w:val="2E2A2C"/>
                <w:sz w:val="14"/>
              </w:rPr>
              <w:t>Einkauf steuert nur Preis, Qualität, Verfügbarkeit</w:t>
            </w:r>
          </w:p>
        </w:tc>
        <w:tc>
          <w:tcPr>
            <w:tcW w:type="dxa" w:w="3331"/>
            <w:vAlign w:val="top"/>
          </w:tcPr>
          <w:p>
            <w:r/>
            <w:r>
              <w:rPr>
                <w:rFonts w:ascii="Arial" w:hAnsi="Arial"/>
                <w:b w:val="0"/>
                <w:color w:val="2E2A2C"/>
                <w:sz w:val="14"/>
              </w:rPr>
              <w:t>keine systematischen Wirkungsdaten</w:t>
            </w:r>
          </w:p>
        </w:tc>
      </w:tr>
      <w:tr>
        <w:tc>
          <w:tcPr>
            <w:tcW w:type="dxa" w:w="3331"/>
            <w:vAlign w:val="top"/>
          </w:tcPr>
          <w:p>
            <w:r/>
            <w:r>
              <w:rPr>
                <w:rFonts w:ascii="Arial" w:hAnsi="Arial"/>
                <w:b w:val="0"/>
                <w:color w:val="2E2A2C"/>
                <w:sz w:val="14"/>
              </w:rPr>
              <w:t>1 Transparenz</w:t>
            </w:r>
          </w:p>
        </w:tc>
        <w:tc>
          <w:tcPr>
            <w:tcW w:type="dxa" w:w="3331"/>
            <w:vAlign w:val="top"/>
          </w:tcPr>
          <w:p>
            <w:r/>
            <w:r>
              <w:rPr>
                <w:rFonts w:ascii="Arial" w:hAnsi="Arial"/>
                <w:b w:val="0"/>
                <w:color w:val="2E2A2C"/>
                <w:sz w:val="14"/>
              </w:rPr>
              <w:t>kritische Warengruppen und Risiken sichtbar</w:t>
            </w:r>
          </w:p>
        </w:tc>
        <w:tc>
          <w:tcPr>
            <w:tcW w:type="dxa" w:w="3331"/>
            <w:vAlign w:val="top"/>
          </w:tcPr>
          <w:p>
            <w:r/>
            <w:r>
              <w:rPr>
                <w:rFonts w:ascii="Arial" w:hAnsi="Arial"/>
                <w:b w:val="0"/>
                <w:color w:val="2E2A2C"/>
                <w:sz w:val="14"/>
              </w:rPr>
              <w:t>Risikokarte, Lieferantenliste, Datenlücken</w:t>
            </w:r>
          </w:p>
        </w:tc>
      </w:tr>
      <w:tr>
        <w:tc>
          <w:tcPr>
            <w:tcW w:type="dxa" w:w="3331"/>
            <w:vAlign w:val="top"/>
          </w:tcPr>
          <w:p>
            <w:r/>
            <w:r>
              <w:rPr>
                <w:rFonts w:ascii="Arial" w:hAnsi="Arial"/>
                <w:b w:val="0"/>
                <w:color w:val="2E2A2C"/>
                <w:sz w:val="14"/>
              </w:rPr>
              <w:t>2 Mindestschutz</w:t>
            </w:r>
          </w:p>
        </w:tc>
        <w:tc>
          <w:tcPr>
            <w:tcW w:type="dxa" w:w="3331"/>
            <w:vAlign w:val="top"/>
          </w:tcPr>
          <w:p>
            <w:r/>
            <w:r>
              <w:rPr>
                <w:rFonts w:ascii="Arial" w:hAnsi="Arial"/>
                <w:b w:val="0"/>
                <w:color w:val="2E2A2C"/>
                <w:sz w:val="14"/>
              </w:rPr>
              <w:t>rote Linien und Ausschlusskriterien definiert</w:t>
            </w:r>
          </w:p>
        </w:tc>
        <w:tc>
          <w:tcPr>
            <w:tcW w:type="dxa" w:w="3331"/>
            <w:vAlign w:val="top"/>
          </w:tcPr>
          <w:p>
            <w:r/>
            <w:r>
              <w:rPr>
                <w:rFonts w:ascii="Arial" w:hAnsi="Arial"/>
                <w:b w:val="0"/>
                <w:color w:val="2E2A2C"/>
                <w:sz w:val="14"/>
              </w:rPr>
              <w:t>Code of Conduct, Beschwerdewege, Auditpfade</w:t>
            </w:r>
          </w:p>
        </w:tc>
      </w:tr>
      <w:tr>
        <w:tc>
          <w:tcPr>
            <w:tcW w:type="dxa" w:w="3331"/>
            <w:vAlign w:val="top"/>
          </w:tcPr>
          <w:p>
            <w:r/>
            <w:r>
              <w:rPr>
                <w:rFonts w:ascii="Arial" w:hAnsi="Arial"/>
                <w:b w:val="0"/>
                <w:color w:val="2E2A2C"/>
                <w:sz w:val="14"/>
              </w:rPr>
              <w:t>3 Scorecard</w:t>
            </w:r>
          </w:p>
        </w:tc>
        <w:tc>
          <w:tcPr>
            <w:tcW w:type="dxa" w:w="3331"/>
            <w:vAlign w:val="top"/>
          </w:tcPr>
          <w:p>
            <w:r/>
            <w:r>
              <w:rPr>
                <w:rFonts w:ascii="Arial" w:hAnsi="Arial"/>
                <w:b w:val="0"/>
                <w:color w:val="2E2A2C"/>
                <w:sz w:val="14"/>
              </w:rPr>
              <w:t>WÖk-ID-basierte Lieferanten- und Vorleistungsbewertung</w:t>
            </w:r>
          </w:p>
        </w:tc>
        <w:tc>
          <w:tcPr>
            <w:tcW w:type="dxa" w:w="3331"/>
            <w:vAlign w:val="top"/>
          </w:tcPr>
          <w:p>
            <w:r/>
            <w:r>
              <w:rPr>
                <w:rFonts w:ascii="Arial" w:hAnsi="Arial"/>
                <w:b w:val="0"/>
                <w:color w:val="2E2A2C"/>
                <w:sz w:val="14"/>
              </w:rPr>
              <w:t>Scorecards, Benchmarks, Datenqualität</w:t>
            </w:r>
          </w:p>
        </w:tc>
      </w:tr>
      <w:tr>
        <w:tc>
          <w:tcPr>
            <w:tcW w:type="dxa" w:w="3331"/>
            <w:vAlign w:val="top"/>
          </w:tcPr>
          <w:p>
            <w:r/>
            <w:r>
              <w:rPr>
                <w:rFonts w:ascii="Arial" w:hAnsi="Arial"/>
                <w:b w:val="0"/>
                <w:color w:val="2E2A2C"/>
                <w:sz w:val="14"/>
              </w:rPr>
              <w:t>4 Rückkopplung</w:t>
            </w:r>
          </w:p>
        </w:tc>
        <w:tc>
          <w:tcPr>
            <w:tcW w:type="dxa" w:w="3331"/>
            <w:vAlign w:val="top"/>
          </w:tcPr>
          <w:p>
            <w:r/>
            <w:r>
              <w:rPr>
                <w:rFonts w:ascii="Arial" w:hAnsi="Arial"/>
                <w:b w:val="0"/>
                <w:color w:val="2E2A2C"/>
                <w:sz w:val="14"/>
              </w:rPr>
              <w:t>Scores beeinflussen Verträge, Preise, Bonus, Vorsteuerlogik</w:t>
            </w:r>
          </w:p>
        </w:tc>
        <w:tc>
          <w:tcPr>
            <w:tcW w:type="dxa" w:w="3331"/>
            <w:vAlign w:val="top"/>
          </w:tcPr>
          <w:p>
            <w:r/>
            <w:r>
              <w:rPr>
                <w:rFonts w:ascii="Arial" w:hAnsi="Arial"/>
                <w:b w:val="0"/>
                <w:color w:val="2E2A2C"/>
                <w:sz w:val="14"/>
              </w:rPr>
              <w:t>Vergabematrix, Vertragsklauseln, Bonus/Malus</w:t>
            </w:r>
          </w:p>
        </w:tc>
      </w:tr>
      <w:tr>
        <w:tc>
          <w:tcPr>
            <w:tcW w:type="dxa" w:w="3331"/>
            <w:vAlign w:val="top"/>
          </w:tcPr>
          <w:p>
            <w:r/>
            <w:r>
              <w:rPr>
                <w:rFonts w:ascii="Arial" w:hAnsi="Arial"/>
                <w:b w:val="0"/>
                <w:color w:val="2E2A2C"/>
                <w:sz w:val="14"/>
              </w:rPr>
              <w:t>5 Portfolio</w:t>
            </w:r>
          </w:p>
        </w:tc>
        <w:tc>
          <w:tcPr>
            <w:tcW w:type="dxa" w:w="3331"/>
            <w:vAlign w:val="top"/>
          </w:tcPr>
          <w:p>
            <w:r/>
            <w:r>
              <w:rPr>
                <w:rFonts w:ascii="Arial" w:hAnsi="Arial"/>
                <w:b w:val="0"/>
                <w:color w:val="2E2A2C"/>
                <w:sz w:val="14"/>
              </w:rPr>
              <w:t>Lieferketten werden aktiv auf positive Netto-Wirkung und Resilienz umgebaut</w:t>
            </w:r>
          </w:p>
        </w:tc>
        <w:tc>
          <w:tcPr>
            <w:tcW w:type="dxa" w:w="3331"/>
            <w:vAlign w:val="top"/>
          </w:tcPr>
          <w:p>
            <w:r/>
            <w:r>
              <w:rPr>
                <w:rFonts w:ascii="Arial" w:hAnsi="Arial"/>
                <w:b w:val="0"/>
                <w:color w:val="2E2A2C"/>
                <w:sz w:val="14"/>
              </w:rPr>
              <w:t>Transformationsplan, T-SROI, Resilienzkennzahlen</w:t>
            </w:r>
          </w:p>
        </w:tc>
      </w:tr>
    </w:tbl>
    <w:p/>
    <w:p>
      <w:pPr>
        <w:pStyle w:val="Heading1"/>
      </w:pPr>
      <w:r>
        <w:t>15. Vertragsarchitektur und Lieferantenentwicklung</w:t>
      </w:r>
    </w:p>
    <w:p>
      <w:r>
        <w:t>Wirkungsorientierte Lieferketten brauchen Verträge, die nicht nur Lieferung und Haftung regeln, sondern Verbesserung ermöglichen. Verträge sollten Wirkungsdaten, Mindeststandards, Korrekturfristen, technische Unterstützung, Auditierbarkeit, Bonuslogik und Eskalation enthalten.</w:t>
      </w:r>
    </w:p>
    <w:p>
      <w:r>
        <w:t>Der entscheidende Unterschied zur reinen Compliance-Logik liegt im Entwicklungscharakter. Lieferanten werden nicht nur kontrolliert, sondern befähigt. Gerade bei kleinen Lieferanten oder Lieferanten in Regionen mit strukturellen Risiken ist ein reiner Ausschluss oft wirkungsärmer als ein verbindlicher Verbesserungsplan - solange keine rote Linie verletzt wird.</w:t>
      </w:r>
    </w:p>
    <w:p>
      <w:r>
        <w:t>Rote Linien bleiben nicht verhandelbar: Zwangsarbeit, Kinderarbeit, schwere Umweltzerstörung, systematische Gesundheitsgefährdung, Korruption oder bewusste Datenfälschung dürfen nicht durch Entwicklungsrhetorik verdeckt werden.</w:t>
      </w:r>
    </w:p>
    <w:tbl>
      <w:tblPr>
        <w:tblStyle w:val="TableGrid"/>
        <w:tblW w:type="auto" w:w="0"/>
        <w:jc w:val="center"/>
        <w:tblLook w:firstColumn="1" w:firstRow="1" w:lastColumn="0" w:lastRow="0" w:noHBand="0" w:noVBand="1" w:val="04A0"/>
      </w:tblPr>
      <w:tblGrid>
        <w:gridCol w:w="3331"/>
        <w:gridCol w:w="3331"/>
        <w:gridCol w:w="3331"/>
      </w:tblGrid>
      <w:tr>
        <w:tc>
          <w:tcPr>
            <w:tcW w:type="dxa" w:w="3331"/>
            <w:vAlign w:val="top"/>
            <w:shd w:fill="F6F1E8"/>
          </w:tcPr>
          <w:p>
            <w:r/>
            <w:r>
              <w:rPr>
                <w:rFonts w:ascii="Arial" w:hAnsi="Arial"/>
                <w:b/>
                <w:color w:val="0B1020"/>
                <w:sz w:val="16"/>
              </w:rPr>
              <w:t>Vertragsbaustein</w:t>
            </w:r>
          </w:p>
        </w:tc>
        <w:tc>
          <w:tcPr>
            <w:tcW w:type="dxa" w:w="3331"/>
            <w:vAlign w:val="top"/>
            <w:shd w:fill="F6F1E8"/>
          </w:tcPr>
          <w:p>
            <w:r/>
            <w:r>
              <w:rPr>
                <w:rFonts w:ascii="Arial" w:hAnsi="Arial"/>
                <w:b/>
                <w:color w:val="0B1020"/>
                <w:sz w:val="16"/>
              </w:rPr>
              <w:t>Funktion</w:t>
            </w:r>
          </w:p>
        </w:tc>
        <w:tc>
          <w:tcPr>
            <w:tcW w:type="dxa" w:w="3331"/>
            <w:vAlign w:val="top"/>
            <w:shd w:fill="F6F1E8"/>
          </w:tcPr>
          <w:p>
            <w:r/>
            <w:r>
              <w:rPr>
                <w:rFonts w:ascii="Arial" w:hAnsi="Arial"/>
                <w:b/>
                <w:color w:val="0B1020"/>
                <w:sz w:val="16"/>
              </w:rPr>
              <w:t>Wirkungsökonomischer Sinn</w:t>
            </w:r>
          </w:p>
        </w:tc>
      </w:tr>
      <w:tr>
        <w:tc>
          <w:tcPr>
            <w:tcW w:type="dxa" w:w="3331"/>
            <w:vAlign w:val="top"/>
          </w:tcPr>
          <w:p>
            <w:r/>
            <w:r>
              <w:rPr>
                <w:rFonts w:ascii="Arial" w:hAnsi="Arial"/>
                <w:b w:val="0"/>
                <w:color w:val="2E2A2C"/>
                <w:sz w:val="14"/>
              </w:rPr>
              <w:t>Datenklausel</w:t>
            </w:r>
          </w:p>
        </w:tc>
        <w:tc>
          <w:tcPr>
            <w:tcW w:type="dxa" w:w="3331"/>
            <w:vAlign w:val="top"/>
          </w:tcPr>
          <w:p>
            <w:r/>
            <w:r>
              <w:rPr>
                <w:rFonts w:ascii="Arial" w:hAnsi="Arial"/>
                <w:b w:val="0"/>
                <w:color w:val="2E2A2C"/>
                <w:sz w:val="14"/>
              </w:rPr>
              <w:t>Pflicht zu relevanten Primär- oder Sekundärdaten</w:t>
            </w:r>
          </w:p>
        </w:tc>
        <w:tc>
          <w:tcPr>
            <w:tcW w:type="dxa" w:w="3331"/>
            <w:vAlign w:val="top"/>
          </w:tcPr>
          <w:p>
            <w:r/>
            <w:r>
              <w:rPr>
                <w:rFonts w:ascii="Arial" w:hAnsi="Arial"/>
                <w:b w:val="0"/>
                <w:color w:val="2E2A2C"/>
                <w:sz w:val="14"/>
              </w:rPr>
              <w:t>Datenlücken werden sichtbar</w:t>
            </w:r>
          </w:p>
        </w:tc>
      </w:tr>
      <w:tr>
        <w:tc>
          <w:tcPr>
            <w:tcW w:type="dxa" w:w="3331"/>
            <w:vAlign w:val="top"/>
          </w:tcPr>
          <w:p>
            <w:r/>
            <w:r>
              <w:rPr>
                <w:rFonts w:ascii="Arial" w:hAnsi="Arial"/>
                <w:b w:val="0"/>
                <w:color w:val="2E2A2C"/>
                <w:sz w:val="14"/>
              </w:rPr>
              <w:t>Verbesserungspfad</w:t>
            </w:r>
          </w:p>
        </w:tc>
        <w:tc>
          <w:tcPr>
            <w:tcW w:type="dxa" w:w="3331"/>
            <w:vAlign w:val="top"/>
          </w:tcPr>
          <w:p>
            <w:r/>
            <w:r>
              <w:rPr>
                <w:rFonts w:ascii="Arial" w:hAnsi="Arial"/>
                <w:b w:val="0"/>
                <w:color w:val="2E2A2C"/>
                <w:sz w:val="14"/>
              </w:rPr>
              <w:t>messbare Ziele mit Fristen</w:t>
            </w:r>
          </w:p>
        </w:tc>
        <w:tc>
          <w:tcPr>
            <w:tcW w:type="dxa" w:w="3331"/>
            <w:vAlign w:val="top"/>
          </w:tcPr>
          <w:p>
            <w:r/>
            <w:r>
              <w:rPr>
                <w:rFonts w:ascii="Arial" w:hAnsi="Arial"/>
                <w:b w:val="0"/>
                <w:color w:val="2E2A2C"/>
                <w:sz w:val="14"/>
              </w:rPr>
              <w:t>Transformation statt bloßer Prüfung</w:t>
            </w:r>
          </w:p>
        </w:tc>
      </w:tr>
      <w:tr>
        <w:tc>
          <w:tcPr>
            <w:tcW w:type="dxa" w:w="3331"/>
            <w:vAlign w:val="top"/>
          </w:tcPr>
          <w:p>
            <w:r/>
            <w:r>
              <w:rPr>
                <w:rFonts w:ascii="Arial" w:hAnsi="Arial"/>
                <w:b w:val="0"/>
                <w:color w:val="2E2A2C"/>
                <w:sz w:val="14"/>
              </w:rPr>
              <w:t>Auditklausel</w:t>
            </w:r>
          </w:p>
        </w:tc>
        <w:tc>
          <w:tcPr>
            <w:tcW w:type="dxa" w:w="3331"/>
            <w:vAlign w:val="top"/>
          </w:tcPr>
          <w:p>
            <w:r/>
            <w:r>
              <w:rPr>
                <w:rFonts w:ascii="Arial" w:hAnsi="Arial"/>
                <w:b w:val="0"/>
                <w:color w:val="2E2A2C"/>
                <w:sz w:val="14"/>
              </w:rPr>
              <w:t>Prüfung von Daten und Prozessen</w:t>
            </w:r>
          </w:p>
        </w:tc>
        <w:tc>
          <w:tcPr>
            <w:tcW w:type="dxa" w:w="3331"/>
            <w:vAlign w:val="top"/>
          </w:tcPr>
          <w:p>
            <w:r/>
            <w:r>
              <w:rPr>
                <w:rFonts w:ascii="Arial" w:hAnsi="Arial"/>
                <w:b w:val="0"/>
                <w:color w:val="2E2A2C"/>
                <w:sz w:val="14"/>
              </w:rPr>
              <w:t>Missbrauchsschutz</w:t>
            </w:r>
          </w:p>
        </w:tc>
      </w:tr>
      <w:tr>
        <w:tc>
          <w:tcPr>
            <w:tcW w:type="dxa" w:w="3331"/>
            <w:vAlign w:val="top"/>
          </w:tcPr>
          <w:p>
            <w:r/>
            <w:r>
              <w:rPr>
                <w:rFonts w:ascii="Arial" w:hAnsi="Arial"/>
                <w:b w:val="0"/>
                <w:color w:val="2E2A2C"/>
                <w:sz w:val="14"/>
              </w:rPr>
              <w:t>Bonusregel</w:t>
            </w:r>
          </w:p>
        </w:tc>
        <w:tc>
          <w:tcPr>
            <w:tcW w:type="dxa" w:w="3331"/>
            <w:vAlign w:val="top"/>
          </w:tcPr>
          <w:p>
            <w:r/>
            <w:r>
              <w:rPr>
                <w:rFonts w:ascii="Arial" w:hAnsi="Arial"/>
                <w:b w:val="0"/>
                <w:color w:val="2E2A2C"/>
                <w:sz w:val="14"/>
              </w:rPr>
              <w:t>Vorteil bei positiver Wirkung</w:t>
            </w:r>
          </w:p>
        </w:tc>
        <w:tc>
          <w:tcPr>
            <w:tcW w:type="dxa" w:w="3331"/>
            <w:vAlign w:val="top"/>
          </w:tcPr>
          <w:p>
            <w:r/>
            <w:r>
              <w:rPr>
                <w:rFonts w:ascii="Arial" w:hAnsi="Arial"/>
                <w:b w:val="0"/>
                <w:color w:val="2E2A2C"/>
                <w:sz w:val="14"/>
              </w:rPr>
              <w:t>gute Lieferanten werden attraktiv</w:t>
            </w:r>
          </w:p>
        </w:tc>
      </w:tr>
      <w:tr>
        <w:tc>
          <w:tcPr>
            <w:tcW w:type="dxa" w:w="3331"/>
            <w:vAlign w:val="top"/>
          </w:tcPr>
          <w:p>
            <w:r/>
            <w:r>
              <w:rPr>
                <w:rFonts w:ascii="Arial" w:hAnsi="Arial"/>
                <w:b w:val="0"/>
                <w:color w:val="2E2A2C"/>
                <w:sz w:val="14"/>
              </w:rPr>
              <w:t>Eskalation</w:t>
            </w:r>
          </w:p>
        </w:tc>
        <w:tc>
          <w:tcPr>
            <w:tcW w:type="dxa" w:w="3331"/>
            <w:vAlign w:val="top"/>
          </w:tcPr>
          <w:p>
            <w:r/>
            <w:r>
              <w:rPr>
                <w:rFonts w:ascii="Arial" w:hAnsi="Arial"/>
                <w:b w:val="0"/>
                <w:color w:val="2E2A2C"/>
                <w:sz w:val="14"/>
              </w:rPr>
              <w:t>Stufen bei Verstößen</w:t>
            </w:r>
          </w:p>
        </w:tc>
        <w:tc>
          <w:tcPr>
            <w:tcW w:type="dxa" w:w="3331"/>
            <w:vAlign w:val="top"/>
          </w:tcPr>
          <w:p>
            <w:r/>
            <w:r>
              <w:rPr>
                <w:rFonts w:ascii="Arial" w:hAnsi="Arial"/>
                <w:b w:val="0"/>
                <w:color w:val="2E2A2C"/>
                <w:sz w:val="14"/>
              </w:rPr>
              <w:t>Verhältnismäßigkeit und Rechtsschutz</w:t>
            </w:r>
          </w:p>
        </w:tc>
      </w:tr>
      <w:tr>
        <w:tc>
          <w:tcPr>
            <w:tcW w:type="dxa" w:w="3331"/>
            <w:vAlign w:val="top"/>
          </w:tcPr>
          <w:p>
            <w:r/>
            <w:r>
              <w:rPr>
                <w:rFonts w:ascii="Arial" w:hAnsi="Arial"/>
                <w:b w:val="0"/>
                <w:color w:val="2E2A2C"/>
                <w:sz w:val="14"/>
              </w:rPr>
              <w:t>Exit-Regel</w:t>
            </w:r>
          </w:p>
        </w:tc>
        <w:tc>
          <w:tcPr>
            <w:tcW w:type="dxa" w:w="3331"/>
            <w:vAlign w:val="top"/>
          </w:tcPr>
          <w:p>
            <w:r/>
            <w:r>
              <w:rPr>
                <w:rFonts w:ascii="Arial" w:hAnsi="Arial"/>
                <w:b w:val="0"/>
                <w:color w:val="2E2A2C"/>
                <w:sz w:val="14"/>
              </w:rPr>
              <w:t>Ausstieg bei roten Linien</w:t>
            </w:r>
          </w:p>
        </w:tc>
        <w:tc>
          <w:tcPr>
            <w:tcW w:type="dxa" w:w="3331"/>
            <w:vAlign w:val="top"/>
          </w:tcPr>
          <w:p>
            <w:r/>
            <w:r>
              <w:rPr>
                <w:rFonts w:ascii="Arial" w:hAnsi="Arial"/>
                <w:b w:val="0"/>
                <w:color w:val="2E2A2C"/>
                <w:sz w:val="14"/>
              </w:rPr>
              <w:t>Nichtkompensation sichern</w:t>
            </w:r>
          </w:p>
        </w:tc>
      </w:tr>
    </w:tbl>
    <w:p/>
    <w:p>
      <w:pPr>
        <w:pStyle w:val="Heading1"/>
      </w:pPr>
      <w:r>
        <w:t>16. Beispielmatrix: Textil, Batterie, Lebensmittel, Chemie</w:t>
      </w:r>
    </w:p>
    <w:p>
      <w:r>
        <w:t>Die Wirkungslogik ist branchenübergreifend, aber nie schematisch. Jede Warengruppe hat eigene kritische Wirkungspunkte. Deshalb braucht der Einkauf keine Einheitsfragebögen, sondern Warengruppenprofile. Diese Profile helfen, die relevanten Daten nicht beliebig auszuweiten, sondern auf die tatsächlichen Wirkungsengpässe zu fokussieren.</w:t>
      </w:r>
    </w:p>
    <w:p>
      <w:r>
        <w:t>Die folgende Matrix zeigt beispielhaft, wie Beschaffung nach Wirkung priorisieren kann. Sie ist keine abschließende Bewertungsmatrix, sondern ein Ausgangspunkt für Warengruppen-Scorecards.</w:t>
      </w:r>
    </w:p>
    <w:tbl>
      <w:tblPr>
        <w:tblStyle w:val="TableGrid"/>
        <w:tblW w:type="auto" w:w="0"/>
        <w:jc w:val="center"/>
        <w:tblLook w:firstColumn="1" w:firstRow="1" w:lastColumn="0" w:lastRow="0" w:noHBand="0" w:noVBand="1" w:val="04A0"/>
      </w:tblPr>
      <w:tblGrid>
        <w:gridCol w:w="3331"/>
        <w:gridCol w:w="3331"/>
        <w:gridCol w:w="3331"/>
      </w:tblGrid>
      <w:tr>
        <w:tc>
          <w:tcPr>
            <w:tcW w:type="dxa" w:w="3331"/>
            <w:vAlign w:val="top"/>
            <w:shd w:fill="F6F1E8"/>
          </w:tcPr>
          <w:p>
            <w:r/>
            <w:r>
              <w:rPr>
                <w:rFonts w:ascii="Arial" w:hAnsi="Arial"/>
                <w:b/>
                <w:color w:val="0B1020"/>
                <w:sz w:val="16"/>
              </w:rPr>
              <w:t>Warengruppe</w:t>
            </w:r>
          </w:p>
        </w:tc>
        <w:tc>
          <w:tcPr>
            <w:tcW w:type="dxa" w:w="3331"/>
            <w:vAlign w:val="top"/>
            <w:shd w:fill="F6F1E8"/>
          </w:tcPr>
          <w:p>
            <w:r/>
            <w:r>
              <w:rPr>
                <w:rFonts w:ascii="Arial" w:hAnsi="Arial"/>
                <w:b/>
                <w:color w:val="0B1020"/>
                <w:sz w:val="16"/>
              </w:rPr>
              <w:t>kritische Wirkungspunkte</w:t>
            </w:r>
          </w:p>
        </w:tc>
        <w:tc>
          <w:tcPr>
            <w:tcW w:type="dxa" w:w="3331"/>
            <w:vAlign w:val="top"/>
            <w:shd w:fill="F6F1E8"/>
          </w:tcPr>
          <w:p>
            <w:r/>
            <w:r>
              <w:rPr>
                <w:rFonts w:ascii="Arial" w:hAnsi="Arial"/>
                <w:b/>
                <w:color w:val="0B1020"/>
                <w:sz w:val="16"/>
              </w:rPr>
              <w:t>mögliche WÖk-Rückkopplung</w:t>
            </w:r>
          </w:p>
        </w:tc>
      </w:tr>
      <w:tr>
        <w:tc>
          <w:tcPr>
            <w:tcW w:type="dxa" w:w="3331"/>
            <w:vAlign w:val="top"/>
          </w:tcPr>
          <w:p>
            <w:r/>
            <w:r>
              <w:rPr>
                <w:rFonts w:ascii="Arial" w:hAnsi="Arial"/>
                <w:b w:val="0"/>
                <w:color w:val="2E2A2C"/>
                <w:sz w:val="14"/>
              </w:rPr>
              <w:t>Textil</w:t>
            </w:r>
          </w:p>
        </w:tc>
        <w:tc>
          <w:tcPr>
            <w:tcW w:type="dxa" w:w="3331"/>
            <w:vAlign w:val="top"/>
          </w:tcPr>
          <w:p>
            <w:r/>
            <w:r>
              <w:rPr>
                <w:rFonts w:ascii="Arial" w:hAnsi="Arial"/>
                <w:b w:val="0"/>
                <w:color w:val="2E2A2C"/>
                <w:sz w:val="14"/>
              </w:rPr>
              <w:t>Arbeitsrechte, Wasser, Chemikalien, Mikrofasern, Haltbarkeit</w:t>
            </w:r>
          </w:p>
        </w:tc>
        <w:tc>
          <w:tcPr>
            <w:tcW w:type="dxa" w:w="3331"/>
            <w:vAlign w:val="top"/>
          </w:tcPr>
          <w:p>
            <w:r/>
            <w:r>
              <w:rPr>
                <w:rFonts w:ascii="Arial" w:hAnsi="Arial"/>
                <w:b w:val="0"/>
                <w:color w:val="2E2A2C"/>
                <w:sz w:val="14"/>
              </w:rPr>
              <w:t>Supplier Scorecard, DPP, Rücknahme, Wasser-/Chemie-Benchmark</w:t>
            </w:r>
          </w:p>
        </w:tc>
      </w:tr>
      <w:tr>
        <w:tc>
          <w:tcPr>
            <w:tcW w:type="dxa" w:w="3331"/>
            <w:vAlign w:val="top"/>
          </w:tcPr>
          <w:p>
            <w:r/>
            <w:r>
              <w:rPr>
                <w:rFonts w:ascii="Arial" w:hAnsi="Arial"/>
                <w:b w:val="0"/>
                <w:color w:val="2E2A2C"/>
                <w:sz w:val="14"/>
              </w:rPr>
              <w:t>Batterien</w:t>
            </w:r>
          </w:p>
        </w:tc>
        <w:tc>
          <w:tcPr>
            <w:tcW w:type="dxa" w:w="3331"/>
            <w:vAlign w:val="top"/>
          </w:tcPr>
          <w:p>
            <w:r/>
            <w:r>
              <w:rPr>
                <w:rFonts w:ascii="Arial" w:hAnsi="Arial"/>
                <w:b w:val="0"/>
                <w:color w:val="2E2A2C"/>
                <w:sz w:val="14"/>
              </w:rPr>
              <w:t>kritische Rohstoffe, Energie, Menschenrechte, Recycling, Sicherheit</w:t>
            </w:r>
          </w:p>
        </w:tc>
        <w:tc>
          <w:tcPr>
            <w:tcW w:type="dxa" w:w="3331"/>
            <w:vAlign w:val="top"/>
          </w:tcPr>
          <w:p>
            <w:r/>
            <w:r>
              <w:rPr>
                <w:rFonts w:ascii="Arial" w:hAnsi="Arial"/>
                <w:b w:val="0"/>
                <w:color w:val="2E2A2C"/>
                <w:sz w:val="14"/>
              </w:rPr>
              <w:t>Rohstoffpass, Rücknahmepflicht, Recyclingquote, Lieferkettenrisiko</w:t>
            </w:r>
          </w:p>
        </w:tc>
      </w:tr>
      <w:tr>
        <w:tc>
          <w:tcPr>
            <w:tcW w:type="dxa" w:w="3331"/>
            <w:vAlign w:val="top"/>
          </w:tcPr>
          <w:p>
            <w:r/>
            <w:r>
              <w:rPr>
                <w:rFonts w:ascii="Arial" w:hAnsi="Arial"/>
                <w:b w:val="0"/>
                <w:color w:val="2E2A2C"/>
                <w:sz w:val="14"/>
              </w:rPr>
              <w:t>Lebensmittel</w:t>
            </w:r>
          </w:p>
        </w:tc>
        <w:tc>
          <w:tcPr>
            <w:tcW w:type="dxa" w:w="3331"/>
            <w:vAlign w:val="top"/>
          </w:tcPr>
          <w:p>
            <w:r/>
            <w:r>
              <w:rPr>
                <w:rFonts w:ascii="Arial" w:hAnsi="Arial"/>
                <w:b w:val="0"/>
                <w:color w:val="2E2A2C"/>
                <w:sz w:val="14"/>
              </w:rPr>
              <w:t>Wasserstress, Boden, Pestizide, Saisonarbeit, Food Loss</w:t>
            </w:r>
          </w:p>
        </w:tc>
        <w:tc>
          <w:tcPr>
            <w:tcW w:type="dxa" w:w="3331"/>
            <w:vAlign w:val="top"/>
          </w:tcPr>
          <w:p>
            <w:r/>
            <w:r>
              <w:rPr>
                <w:rFonts w:ascii="Arial" w:hAnsi="Arial"/>
                <w:b w:val="0"/>
                <w:color w:val="2E2A2C"/>
                <w:sz w:val="14"/>
              </w:rPr>
              <w:t>Agrar-Scorecard, Herkunft, Pestizidindex, Living Wage</w:t>
            </w:r>
          </w:p>
        </w:tc>
      </w:tr>
      <w:tr>
        <w:tc>
          <w:tcPr>
            <w:tcW w:type="dxa" w:w="3331"/>
            <w:vAlign w:val="top"/>
          </w:tcPr>
          <w:p>
            <w:r/>
            <w:r>
              <w:rPr>
                <w:rFonts w:ascii="Arial" w:hAnsi="Arial"/>
                <w:b w:val="0"/>
                <w:color w:val="2E2A2C"/>
                <w:sz w:val="14"/>
              </w:rPr>
              <w:t>Chemie</w:t>
            </w:r>
          </w:p>
        </w:tc>
        <w:tc>
          <w:tcPr>
            <w:tcW w:type="dxa" w:w="3331"/>
            <w:vAlign w:val="top"/>
          </w:tcPr>
          <w:p>
            <w:r/>
            <w:r>
              <w:rPr>
                <w:rFonts w:ascii="Arial" w:hAnsi="Arial"/>
                <w:b w:val="0"/>
                <w:color w:val="2E2A2C"/>
                <w:sz w:val="14"/>
              </w:rPr>
              <w:t>Toxizität, Wasser, Emissionen, Arbeitsschutz, Produktverwendung</w:t>
            </w:r>
          </w:p>
        </w:tc>
        <w:tc>
          <w:tcPr>
            <w:tcW w:type="dxa" w:w="3331"/>
            <w:vAlign w:val="top"/>
          </w:tcPr>
          <w:p>
            <w:r/>
            <w:r>
              <w:rPr>
                <w:rFonts w:ascii="Arial" w:hAnsi="Arial"/>
                <w:b w:val="0"/>
                <w:color w:val="2E2A2C"/>
                <w:sz w:val="14"/>
              </w:rPr>
              <w:t>REACH/ESRS-Daten, Produktgruppen-Scorecard, Grenzwerte</w:t>
            </w:r>
          </w:p>
        </w:tc>
      </w:tr>
      <w:tr>
        <w:tc>
          <w:tcPr>
            <w:tcW w:type="dxa" w:w="3331"/>
            <w:vAlign w:val="top"/>
          </w:tcPr>
          <w:p>
            <w:r/>
            <w:r>
              <w:rPr>
                <w:rFonts w:ascii="Arial" w:hAnsi="Arial"/>
                <w:b w:val="0"/>
                <w:color w:val="2E2A2C"/>
                <w:sz w:val="14"/>
              </w:rPr>
              <w:t>IT/Elektronik</w:t>
            </w:r>
          </w:p>
        </w:tc>
        <w:tc>
          <w:tcPr>
            <w:tcW w:type="dxa" w:w="3331"/>
            <w:vAlign w:val="top"/>
          </w:tcPr>
          <w:p>
            <w:r/>
            <w:r>
              <w:rPr>
                <w:rFonts w:ascii="Arial" w:hAnsi="Arial"/>
                <w:b w:val="0"/>
                <w:color w:val="2E2A2C"/>
                <w:sz w:val="14"/>
              </w:rPr>
              <w:t>Energie, Rohstoffe, Reparierbarkeit, E-Waste, Datenintegrität</w:t>
            </w:r>
          </w:p>
        </w:tc>
        <w:tc>
          <w:tcPr>
            <w:tcW w:type="dxa" w:w="3331"/>
            <w:vAlign w:val="top"/>
          </w:tcPr>
          <w:p>
            <w:r/>
            <w:r>
              <w:rPr>
                <w:rFonts w:ascii="Arial" w:hAnsi="Arial"/>
                <w:b w:val="0"/>
                <w:color w:val="2E2A2C"/>
                <w:sz w:val="14"/>
              </w:rPr>
              <w:t>DPP, Reparierbarkeit, Ersatzteile, Cyber- und Datenschutz</w:t>
            </w:r>
          </w:p>
        </w:tc>
      </w:tr>
      <w:tr>
        <w:tc>
          <w:tcPr>
            <w:tcW w:type="dxa" w:w="3331"/>
            <w:vAlign w:val="top"/>
          </w:tcPr>
          <w:p>
            <w:r/>
            <w:r>
              <w:rPr>
                <w:rFonts w:ascii="Arial" w:hAnsi="Arial"/>
                <w:b w:val="0"/>
                <w:color w:val="2E2A2C"/>
                <w:sz w:val="14"/>
              </w:rPr>
              <w:t>Bauprodukte</w:t>
            </w:r>
          </w:p>
        </w:tc>
        <w:tc>
          <w:tcPr>
            <w:tcW w:type="dxa" w:w="3331"/>
            <w:vAlign w:val="top"/>
          </w:tcPr>
          <w:p>
            <w:r/>
            <w:r>
              <w:rPr>
                <w:rFonts w:ascii="Arial" w:hAnsi="Arial"/>
                <w:b w:val="0"/>
                <w:color w:val="2E2A2C"/>
                <w:sz w:val="14"/>
              </w:rPr>
              <w:t>graue Emissionen, Materialkreislauf, Schadstoffe, Lebensdauer</w:t>
            </w:r>
          </w:p>
        </w:tc>
        <w:tc>
          <w:tcPr>
            <w:tcW w:type="dxa" w:w="3331"/>
            <w:vAlign w:val="top"/>
          </w:tcPr>
          <w:p>
            <w:r/>
            <w:r>
              <w:rPr>
                <w:rFonts w:ascii="Arial" w:hAnsi="Arial"/>
                <w:b w:val="0"/>
                <w:color w:val="2E2A2C"/>
                <w:sz w:val="14"/>
              </w:rPr>
              <w:t>EPD, Materialpass, Kreislaufquote, Gebäude-Wirkungscheck</w:t>
            </w:r>
          </w:p>
        </w:tc>
      </w:tr>
    </w:tbl>
    <w:p/>
    <w:p>
      <w:pPr>
        <w:pStyle w:val="Heading1"/>
      </w:pPr>
      <w:r>
        <w:t>17. Governance, Audit und Schutz vor Lieferkettenbürokratie</w:t>
      </w:r>
    </w:p>
    <w:p>
      <w:r>
        <w:t>Eine häufige Fehlentwicklung heutiger Lieferkettenregulierung ist Fragebogenbürokratie. Unternehmen verschicken Abfragen, Lieferanten füllen Portale, Daten werden gesammelt, aber die tatsächliche Wirkung verändert sich kaum. Wirkungsökonomische Governance muss diese Blindleistung vermeiden.</w:t>
      </w:r>
    </w:p>
    <w:p>
      <w:r>
        <w:t>Deshalb braucht es ein Prinzip: Jede Datenanforderung muss einem konkreten Entscheidungszweck dienen. Wenn ein Datenpunkt nicht zu Bewertung, Verbesserung, Risikoerkennung, Steuerung oder Rechtsschutz beiträgt, sollte er nicht erhoben werden.</w:t>
      </w:r>
    </w:p>
    <w:p>
      <w:r>
        <w:t>Das System muss prüfbar, aber schlank sein: standardisierte WÖk-ID-Familien, Branchenprofile, digitale Produktpässe, wiederverwendbare Nachweise und klare Datenqualitätsstufen reduzieren Doppelabfragen.</w:t>
      </w:r>
    </w:p>
    <w:p>
      <w:pPr>
        <w:pStyle w:val="Heading1"/>
      </w:pPr>
      <w:r>
        <w:t>18. Übergangspfad für Unternehmen</w:t>
      </w:r>
    </w:p>
    <w:p>
      <w:r>
        <w:t>Die Einführung kann in 24 Monaten als Pilot beginnen: zuerst Warengruppen mit hohem Risiko und hoher Hebelwirkung, danach Lieferantenentwicklung, danach Vertragsrückkopplung und zuletzt vollständige Integration in Einkaufssysteme und Finanzlogik.</w:t>
      </w:r>
    </w:p>
    <w:p>
      <w:r>
        <w:t>Ein sinnvoller Startpunkt ist nicht die gesamte Lieferkette, sondern eine kritische Warengruppe. Dort werden Datenanforderungen, Scorecard, Lieferantendialog, Vertragsklauseln und Managementbericht getestet. Aus dem Pilot entsteht ein skalierbares Modell.</w:t>
      </w:r>
    </w:p>
    <w:tbl>
      <w:tblPr>
        <w:tblStyle w:val="TableGrid"/>
        <w:tblW w:type="auto" w:w="0"/>
        <w:jc w:val="center"/>
        <w:tblLook w:firstColumn="1" w:firstRow="1" w:lastColumn="0" w:lastRow="0" w:noHBand="0" w:noVBand="1" w:val="04A0"/>
      </w:tblPr>
      <w:tblGrid>
        <w:gridCol w:w="3331"/>
        <w:gridCol w:w="3331"/>
        <w:gridCol w:w="3331"/>
      </w:tblGrid>
      <w:tr>
        <w:tc>
          <w:tcPr>
            <w:tcW w:type="dxa" w:w="3331"/>
            <w:vAlign w:val="top"/>
            <w:shd w:fill="F6F1E8"/>
          </w:tcPr>
          <w:p>
            <w:r/>
            <w:r>
              <w:rPr>
                <w:rFonts w:ascii="Arial" w:hAnsi="Arial"/>
                <w:b/>
                <w:color w:val="0B1020"/>
                <w:sz w:val="16"/>
              </w:rPr>
              <w:t>Zeitraum</w:t>
            </w:r>
          </w:p>
        </w:tc>
        <w:tc>
          <w:tcPr>
            <w:tcW w:type="dxa" w:w="3331"/>
            <w:vAlign w:val="top"/>
            <w:shd w:fill="F6F1E8"/>
          </w:tcPr>
          <w:p>
            <w:r/>
            <w:r>
              <w:rPr>
                <w:rFonts w:ascii="Arial" w:hAnsi="Arial"/>
                <w:b/>
                <w:color w:val="0B1020"/>
                <w:sz w:val="16"/>
              </w:rPr>
              <w:t>Schritt</w:t>
            </w:r>
          </w:p>
        </w:tc>
        <w:tc>
          <w:tcPr>
            <w:tcW w:type="dxa" w:w="3331"/>
            <w:vAlign w:val="top"/>
            <w:shd w:fill="F6F1E8"/>
          </w:tcPr>
          <w:p>
            <w:r/>
            <w:r>
              <w:rPr>
                <w:rFonts w:ascii="Arial" w:hAnsi="Arial"/>
                <w:b/>
                <w:color w:val="0B1020"/>
                <w:sz w:val="16"/>
              </w:rPr>
              <w:t>Ergebnis</w:t>
            </w:r>
          </w:p>
        </w:tc>
      </w:tr>
      <w:tr>
        <w:tc>
          <w:tcPr>
            <w:tcW w:type="dxa" w:w="3331"/>
            <w:vAlign w:val="top"/>
          </w:tcPr>
          <w:p>
            <w:r/>
            <w:r>
              <w:rPr>
                <w:rFonts w:ascii="Arial" w:hAnsi="Arial"/>
                <w:b w:val="0"/>
                <w:color w:val="2E2A2C"/>
                <w:sz w:val="14"/>
              </w:rPr>
              <w:t>0-3 Monate</w:t>
            </w:r>
          </w:p>
        </w:tc>
        <w:tc>
          <w:tcPr>
            <w:tcW w:type="dxa" w:w="3331"/>
            <w:vAlign w:val="top"/>
          </w:tcPr>
          <w:p>
            <w:r/>
            <w:r>
              <w:rPr>
                <w:rFonts w:ascii="Arial" w:hAnsi="Arial"/>
                <w:b w:val="0"/>
                <w:color w:val="2E2A2C"/>
                <w:sz w:val="14"/>
              </w:rPr>
              <w:t>Warengruppen und Risiken priorisieren</w:t>
            </w:r>
          </w:p>
        </w:tc>
        <w:tc>
          <w:tcPr>
            <w:tcW w:type="dxa" w:w="3331"/>
            <w:vAlign w:val="top"/>
          </w:tcPr>
          <w:p>
            <w:r/>
            <w:r>
              <w:rPr>
                <w:rFonts w:ascii="Arial" w:hAnsi="Arial"/>
                <w:b w:val="0"/>
                <w:color w:val="2E2A2C"/>
                <w:sz w:val="14"/>
              </w:rPr>
              <w:t>Pilotportfolio und Datenlücken</w:t>
            </w:r>
          </w:p>
        </w:tc>
      </w:tr>
      <w:tr>
        <w:tc>
          <w:tcPr>
            <w:tcW w:type="dxa" w:w="3331"/>
            <w:vAlign w:val="top"/>
          </w:tcPr>
          <w:p>
            <w:r/>
            <w:r>
              <w:rPr>
                <w:rFonts w:ascii="Arial" w:hAnsi="Arial"/>
                <w:b w:val="0"/>
                <w:color w:val="2E2A2C"/>
                <w:sz w:val="14"/>
              </w:rPr>
              <w:t>3-6 Monate</w:t>
            </w:r>
          </w:p>
        </w:tc>
        <w:tc>
          <w:tcPr>
            <w:tcW w:type="dxa" w:w="3331"/>
            <w:vAlign w:val="top"/>
          </w:tcPr>
          <w:p>
            <w:r/>
            <w:r>
              <w:rPr>
                <w:rFonts w:ascii="Arial" w:hAnsi="Arial"/>
                <w:b w:val="0"/>
                <w:color w:val="2E2A2C"/>
                <w:sz w:val="14"/>
              </w:rPr>
              <w:t>Scorecard und Datenanforderungen definieren</w:t>
            </w:r>
          </w:p>
        </w:tc>
        <w:tc>
          <w:tcPr>
            <w:tcW w:type="dxa" w:w="3331"/>
            <w:vAlign w:val="top"/>
          </w:tcPr>
          <w:p>
            <w:r/>
            <w:r>
              <w:rPr>
                <w:rFonts w:ascii="Arial" w:hAnsi="Arial"/>
                <w:b w:val="0"/>
                <w:color w:val="2E2A2C"/>
                <w:sz w:val="14"/>
              </w:rPr>
              <w:t>WÖk-ID-Mapping und Mindeststandard</w:t>
            </w:r>
          </w:p>
        </w:tc>
      </w:tr>
      <w:tr>
        <w:tc>
          <w:tcPr>
            <w:tcW w:type="dxa" w:w="3331"/>
            <w:vAlign w:val="top"/>
          </w:tcPr>
          <w:p>
            <w:r/>
            <w:r>
              <w:rPr>
                <w:rFonts w:ascii="Arial" w:hAnsi="Arial"/>
                <w:b w:val="0"/>
                <w:color w:val="2E2A2C"/>
                <w:sz w:val="14"/>
              </w:rPr>
              <w:t>6-12 Monate</w:t>
            </w:r>
          </w:p>
        </w:tc>
        <w:tc>
          <w:tcPr>
            <w:tcW w:type="dxa" w:w="3331"/>
            <w:vAlign w:val="top"/>
          </w:tcPr>
          <w:p>
            <w:r/>
            <w:r>
              <w:rPr>
                <w:rFonts w:ascii="Arial" w:hAnsi="Arial"/>
                <w:b w:val="0"/>
                <w:color w:val="2E2A2C"/>
                <w:sz w:val="14"/>
              </w:rPr>
              <w:t>Lieferantenpilot durchführen</w:t>
            </w:r>
          </w:p>
        </w:tc>
        <w:tc>
          <w:tcPr>
            <w:tcW w:type="dxa" w:w="3331"/>
            <w:vAlign w:val="top"/>
          </w:tcPr>
          <w:p>
            <w:r/>
            <w:r>
              <w:rPr>
                <w:rFonts w:ascii="Arial" w:hAnsi="Arial"/>
                <w:b w:val="0"/>
                <w:color w:val="2E2A2C"/>
                <w:sz w:val="14"/>
              </w:rPr>
              <w:t>Scores, Entwicklungspläne, Vertragsentwürfe</w:t>
            </w:r>
          </w:p>
        </w:tc>
      </w:tr>
      <w:tr>
        <w:tc>
          <w:tcPr>
            <w:tcW w:type="dxa" w:w="3331"/>
            <w:vAlign w:val="top"/>
          </w:tcPr>
          <w:p>
            <w:r/>
            <w:r>
              <w:rPr>
                <w:rFonts w:ascii="Arial" w:hAnsi="Arial"/>
                <w:b w:val="0"/>
                <w:color w:val="2E2A2C"/>
                <w:sz w:val="14"/>
              </w:rPr>
              <w:t>12-18 Monate</w:t>
            </w:r>
          </w:p>
        </w:tc>
        <w:tc>
          <w:tcPr>
            <w:tcW w:type="dxa" w:w="3331"/>
            <w:vAlign w:val="top"/>
          </w:tcPr>
          <w:p>
            <w:r/>
            <w:r>
              <w:rPr>
                <w:rFonts w:ascii="Arial" w:hAnsi="Arial"/>
                <w:b w:val="0"/>
                <w:color w:val="2E2A2C"/>
                <w:sz w:val="14"/>
              </w:rPr>
              <w:t>Einkaufsentscheidungen rückkoppeln</w:t>
            </w:r>
          </w:p>
        </w:tc>
        <w:tc>
          <w:tcPr>
            <w:tcW w:type="dxa" w:w="3331"/>
            <w:vAlign w:val="top"/>
          </w:tcPr>
          <w:p>
            <w:r/>
            <w:r>
              <w:rPr>
                <w:rFonts w:ascii="Arial" w:hAnsi="Arial"/>
                <w:b w:val="0"/>
                <w:color w:val="2E2A2C"/>
                <w:sz w:val="14"/>
              </w:rPr>
              <w:t>Vergabematrix und Bonus/Malus</w:t>
            </w:r>
          </w:p>
        </w:tc>
      </w:tr>
      <w:tr>
        <w:tc>
          <w:tcPr>
            <w:tcW w:type="dxa" w:w="3331"/>
            <w:vAlign w:val="top"/>
          </w:tcPr>
          <w:p>
            <w:r/>
            <w:r>
              <w:rPr>
                <w:rFonts w:ascii="Arial" w:hAnsi="Arial"/>
                <w:b w:val="0"/>
                <w:color w:val="2E2A2C"/>
                <w:sz w:val="14"/>
              </w:rPr>
              <w:t>18-24 Monate</w:t>
            </w:r>
          </w:p>
        </w:tc>
        <w:tc>
          <w:tcPr>
            <w:tcW w:type="dxa" w:w="3331"/>
            <w:vAlign w:val="top"/>
          </w:tcPr>
          <w:p>
            <w:r/>
            <w:r>
              <w:rPr>
                <w:rFonts w:ascii="Arial" w:hAnsi="Arial"/>
                <w:b w:val="0"/>
                <w:color w:val="2E2A2C"/>
                <w:sz w:val="14"/>
              </w:rPr>
              <w:t>Integration in ERP/Controlling</w:t>
            </w:r>
          </w:p>
        </w:tc>
        <w:tc>
          <w:tcPr>
            <w:tcW w:type="dxa" w:w="3331"/>
            <w:vAlign w:val="top"/>
          </w:tcPr>
          <w:p>
            <w:r/>
            <w:r>
              <w:rPr>
                <w:rFonts w:ascii="Arial" w:hAnsi="Arial"/>
                <w:b w:val="0"/>
                <w:color w:val="2E2A2C"/>
                <w:sz w:val="14"/>
              </w:rPr>
              <w:t>Management-Dashboard und Revisionszyklus</w:t>
            </w:r>
          </w:p>
        </w:tc>
      </w:tr>
    </w:tbl>
    <w:p/>
    <w:sectPr w:rsidR="00FC693F" w:rsidRPr="0006063C" w:rsidSect="00034616">
      <w:headerReference w:type="default" r:id="rId9"/>
      <w:footerReference w:type="default" r:id="rId10"/>
      <w:pgSz w:w="12240" w:h="15840"/>
      <w:pgMar w:top="1037" w:right="1123" w:bottom="1037" w:left="112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C5C5C"/>
        <w:sz w:val="15"/>
      </w:rPr>
      <w:t>Autorin: Natalie Weber · Referenz: Wirkungsökonomie · öffentliche Arbeitsfassung v1.0</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b/>
        <w:color w:val="2A7D5C"/>
        <w:sz w:val="16"/>
      </w:rPr>
      <w:t>WIRKUNGSÖKONOMIE · DETAILKONZEPT · WIRTSCHAFT &amp; UNTERNEHMEN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32323"/>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eastAsia="Georgia"/>
      <w:b/>
      <w:bCs/>
      <w:color w:val="081020"/>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eastAsia="Georgia"/>
      <w:b/>
      <w:bCs/>
      <w:color w:val="08102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eastAsia="Georgia"/>
      <w:b/>
      <w:bCs/>
      <w:color w:val="081020"/>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eastAsia="Georgia"/>
      <w:b/>
      <w:color w:val="081020"/>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