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2F7D5C"/>
          <w:sz w:val="24"/>
        </w:rPr>
        <w:t>WIRKUNGSÖKONOMIE</w:t>
      </w:r>
    </w:p>
    <w:p>
      <w:pPr>
        <w:spacing w:after="320"/>
      </w:pPr>
      <w:r>
        <w:rPr>
          <w:rFonts w:ascii="Arial" w:hAnsi="Arial"/>
          <w:b/>
          <w:color w:val="C89B3C"/>
          <w:sz w:val="20"/>
        </w:rPr>
        <w:t>DETAILKONZEPT</w:t>
      </w:r>
    </w:p>
    <w:p>
      <w:pPr>
        <w:pStyle w:val="Title"/>
        <w:spacing w:after="80"/>
      </w:pPr>
      <w:r>
        <w:t>Bilanz, Finanzierung und Finanzkommunikation nach Wirkung</w:t>
      </w:r>
    </w:p>
    <w:p>
      <w:pPr>
        <w:spacing w:after="360"/>
      </w:pPr>
      <w:r>
        <w:rPr>
          <w:rFonts w:ascii="Georgia" w:hAnsi="Georgia"/>
          <w:color w:val="0B1020"/>
          <w:sz w:val="26"/>
        </w:rPr>
        <w:t>CapEx, Opex, Kapitalzugang, Wirkungskennzahlen und finanzielle Rückkopplung im Unternehmen</w:t>
      </w:r>
    </w:p>
    <w:tbl>
      <w:tblPr>
        <w:tblW w:type="auto" w:w="0"/>
        <w:jc w:val="left"/>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c>
          <w:tcPr>
            <w:tcW w:type="dxa" w:w="2268"/>
            <w:shd w:fill="F6F1E8"/>
            <w:tcMar>
              <w:top w:w="90" w:type="dxa"/>
              <w:start w:w="90" w:type="dxa"/>
              <w:bottom w:w="90" w:type="dxa"/>
              <w:end w:w="90" w:type="dxa"/>
            </w:tcMar>
          </w:tcPr>
          <w:p>
            <w:r>
              <w:rPr>
                <w:b/>
                <w:color w:val="0B1020"/>
              </w:rPr>
              <w:t>Autorin</w:t>
            </w:r>
          </w:p>
        </w:tc>
        <w:tc>
          <w:tcPr>
            <w:tcW w:type="dxa" w:w="5669"/>
            <w:tcMar>
              <w:top w:w="90" w:type="dxa"/>
              <w:start w:w="90" w:type="dxa"/>
              <w:bottom w:w="90" w:type="dxa"/>
              <w:end w:w="90" w:type="dxa"/>
            </w:tcMar>
          </w:tcPr>
          <w:p>
            <w:r>
              <w:t>Natalie Weber</w:t>
            </w:r>
          </w:p>
        </w:tc>
      </w:tr>
      <w:tr>
        <w:tc>
          <w:tcPr>
            <w:tcW w:type="dxa" w:w="2268"/>
            <w:shd w:fill="F6F1E8"/>
            <w:tcMar>
              <w:top w:w="90" w:type="dxa"/>
              <w:start w:w="90" w:type="dxa"/>
              <w:bottom w:w="90" w:type="dxa"/>
              <w:end w:w="90" w:type="dxa"/>
            </w:tcMar>
          </w:tcPr>
          <w:p>
            <w:r>
              <w:rPr>
                <w:b/>
                <w:color w:val="0B1020"/>
              </w:rPr>
              <w:t>Referenz</w:t>
            </w:r>
          </w:p>
        </w:tc>
        <w:tc>
          <w:tcPr>
            <w:tcW w:type="dxa" w:w="5669"/>
            <w:tcMar>
              <w:top w:w="90" w:type="dxa"/>
              <w:start w:w="90" w:type="dxa"/>
              <w:bottom w:w="90" w:type="dxa"/>
              <w:end w:w="90" w:type="dxa"/>
            </w:tcMar>
          </w:tcPr>
          <w:p>
            <w:r>
              <w:t>Wirkungsökonomie</w:t>
            </w:r>
          </w:p>
        </w:tc>
      </w:tr>
      <w:tr>
        <w:tc>
          <w:tcPr>
            <w:tcW w:type="dxa" w:w="2268"/>
            <w:shd w:fill="F6F1E8"/>
            <w:tcMar>
              <w:top w:w="90" w:type="dxa"/>
              <w:start w:w="90" w:type="dxa"/>
              <w:bottom w:w="90" w:type="dxa"/>
              <w:end w:w="90" w:type="dxa"/>
            </w:tcMar>
          </w:tcPr>
          <w:p>
            <w:r>
              <w:rPr>
                <w:b/>
                <w:color w:val="0B1020"/>
              </w:rPr>
              <w:t>Version</w:t>
            </w:r>
          </w:p>
        </w:tc>
        <w:tc>
          <w:tcPr>
            <w:tcW w:type="dxa" w:w="5669"/>
            <w:tcMar>
              <w:top w:w="90" w:type="dxa"/>
              <w:start w:w="90" w:type="dxa"/>
              <w:bottom w:w="90" w:type="dxa"/>
              <w:end w:w="90" w:type="dxa"/>
            </w:tcMar>
          </w:tcPr>
          <w:p>
            <w:r>
              <w:t>v1.0</w:t>
            </w:r>
          </w:p>
        </w:tc>
      </w:tr>
      <w:tr>
        <w:tc>
          <w:tcPr>
            <w:tcW w:type="dxa" w:w="2268"/>
            <w:shd w:fill="F6F1E8"/>
            <w:tcMar>
              <w:top w:w="90" w:type="dxa"/>
              <w:start w:w="90" w:type="dxa"/>
              <w:bottom w:w="90" w:type="dxa"/>
              <w:end w:w="90" w:type="dxa"/>
            </w:tcMar>
          </w:tcPr>
          <w:p>
            <w:r>
              <w:rPr>
                <w:b/>
                <w:color w:val="0B1020"/>
              </w:rPr>
              <w:t>Status</w:t>
            </w:r>
          </w:p>
        </w:tc>
        <w:tc>
          <w:tcPr>
            <w:tcW w:type="dxa" w:w="5669"/>
            <w:tcMar>
              <w:top w:w="90" w:type="dxa"/>
              <w:start w:w="90" w:type="dxa"/>
              <w:bottom w:w="90" w:type="dxa"/>
              <w:end w:w="90" w:type="dxa"/>
            </w:tcMar>
          </w:tcPr>
          <w:p>
            <w:r>
              <w:t>öffentliche Ausarbeitung / Detailkonzept</w:t>
            </w:r>
          </w:p>
        </w:tc>
      </w:tr>
      <w:tr>
        <w:tc>
          <w:tcPr>
            <w:tcW w:type="dxa" w:w="2268"/>
            <w:shd w:fill="F6F1E8"/>
            <w:tcMar>
              <w:top w:w="90" w:type="dxa"/>
              <w:start w:w="90" w:type="dxa"/>
              <w:bottom w:w="90" w:type="dxa"/>
              <w:end w:w="90" w:type="dxa"/>
            </w:tcMar>
          </w:tcPr>
          <w:p>
            <w:r>
              <w:rPr>
                <w:b/>
                <w:color w:val="0B1020"/>
              </w:rPr>
              <w:t>Stand</w:t>
            </w:r>
          </w:p>
        </w:tc>
        <w:tc>
          <w:tcPr>
            <w:tcW w:type="dxa" w:w="5669"/>
            <w:tcMar>
              <w:top w:w="90" w:type="dxa"/>
              <w:start w:w="90" w:type="dxa"/>
              <w:bottom w:w="90" w:type="dxa"/>
              <w:end w:w="90" w:type="dxa"/>
            </w:tcMar>
          </w:tcPr>
          <w:p>
            <w:r>
              <w:t>24. Mai 2026</w:t>
            </w:r>
          </w:p>
        </w:tc>
      </w:tr>
    </w:tbl>
    <w:p/>
    <w:p>
      <w:pPr>
        <w:jc w:val="center"/>
      </w:pPr>
      <w:r>
        <w:rPr>
          <w:rFonts w:ascii="Georgia" w:hAnsi="Georgia"/>
          <w:i/>
          <w:color w:val="2F7D5C"/>
          <w:sz w:val="32"/>
        </w:rPr>
        <w:t>„Finanzkommunikation darf nicht nur sagen, was Kapital erwirtschaftet, sondern was Kapital bewirkt.“</w:t>
      </w:r>
    </w:p>
    <w:p>
      <w:r>
        <w:br w:type="page"/>
      </w:r>
    </w:p>
    <w:p>
      <w:pPr>
        <w:pStyle w:val="Heading1"/>
      </w:pPr>
      <w:r>
        <w:t>Kurzprofil</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Metadatum</w:t>
            </w:r>
          </w:p>
        </w:tc>
        <w:tc>
          <w:tcPr>
            <w:tcW w:type="dxa" w:w="6236"/>
            <w:shd w:fill="0B1020"/>
            <w:tcMar>
              <w:top w:w="90" w:type="dxa"/>
              <w:start w:w="90" w:type="dxa"/>
              <w:bottom w:w="90" w:type="dxa"/>
              <w:end w:w="90" w:type="dxa"/>
            </w:tcMar>
          </w:tcPr>
          <w:p>
            <w:r>
              <w:rPr>
                <w:b/>
                <w:color w:val="FFFFFF"/>
              </w:rPr>
              <w:t>Angabe</w:t>
            </w:r>
          </w:p>
        </w:tc>
      </w:tr>
      <w:tr>
        <w:tc>
          <w:tcPr>
            <w:tcW w:type="dxa" w:w="2835"/>
            <w:tcMar>
              <w:top w:w="80" w:type="dxa"/>
              <w:start w:w="90" w:type="dxa"/>
              <w:bottom w:w="80" w:type="dxa"/>
              <w:end w:w="90" w:type="dxa"/>
            </w:tcMar>
            <w:shd w:fill="FBF8F1"/>
          </w:tcPr>
          <w:p>
            <w:r>
              <w:rPr>
                <w:b/>
                <w:color w:val="0B1020"/>
              </w:rPr>
              <w:t>Dokumenttyp</w:t>
            </w:r>
          </w:p>
        </w:tc>
        <w:tc>
          <w:tcPr>
            <w:tcW w:type="dxa" w:w="6236"/>
            <w:tcMar>
              <w:top w:w="80" w:type="dxa"/>
              <w:start w:w="90" w:type="dxa"/>
              <w:bottom w:w="80" w:type="dxa"/>
              <w:end w:w="90" w:type="dxa"/>
            </w:tcMar>
          </w:tcPr>
          <w:p>
            <w:r>
              <w:t>Öffentliches Detailkonzept</w:t>
            </w:r>
          </w:p>
        </w:tc>
      </w:tr>
      <w:tr>
        <w:tc>
          <w:tcPr>
            <w:tcW w:type="dxa" w:w="2835"/>
            <w:tcMar>
              <w:top w:w="80" w:type="dxa"/>
              <w:start w:w="90" w:type="dxa"/>
              <w:bottom w:w="80" w:type="dxa"/>
              <w:end w:w="90" w:type="dxa"/>
            </w:tcMar>
            <w:shd w:fill="FBF8F1"/>
          </w:tcPr>
          <w:p>
            <w:r>
              <w:rPr>
                <w:b/>
                <w:color w:val="0B1020"/>
              </w:rPr>
              <w:t>Zugehöriges Portal</w:t>
            </w:r>
          </w:p>
        </w:tc>
        <w:tc>
          <w:tcPr>
            <w:tcW w:type="dxa" w:w="6236"/>
            <w:tcMar>
              <w:top w:w="80" w:type="dxa"/>
              <w:start w:w="90" w:type="dxa"/>
              <w:bottom w:w="80" w:type="dxa"/>
              <w:end w:w="90" w:type="dxa"/>
            </w:tcMar>
          </w:tcPr>
          <w:p>
            <w:r>
              <w:t>Wirtschaft &amp; Unternehmen</w:t>
            </w:r>
          </w:p>
        </w:tc>
      </w:tr>
      <w:tr>
        <w:tc>
          <w:tcPr>
            <w:tcW w:type="dxa" w:w="2835"/>
            <w:tcMar>
              <w:top w:w="80" w:type="dxa"/>
              <w:start w:w="90" w:type="dxa"/>
              <w:bottom w:w="80" w:type="dxa"/>
              <w:end w:w="90" w:type="dxa"/>
            </w:tcMar>
            <w:shd w:fill="FBF8F1"/>
          </w:tcPr>
          <w:p>
            <w:r>
              <w:rPr>
                <w:b/>
                <w:color w:val="0B1020"/>
              </w:rPr>
              <w:t>Unterbereich</w:t>
            </w:r>
          </w:p>
        </w:tc>
        <w:tc>
          <w:tcPr>
            <w:tcW w:type="dxa" w:w="6236"/>
            <w:tcMar>
              <w:top w:w="80" w:type="dxa"/>
              <w:start w:w="90" w:type="dxa"/>
              <w:bottom w:w="80" w:type="dxa"/>
              <w:end w:w="90" w:type="dxa"/>
            </w:tcMar>
          </w:tcPr>
          <w:p>
            <w:r>
              <w:t>Bilanzlogik, Finanzierung, CapEx/Opex, Kapitalzugang und Finanzkommunikation nach Wirkung</w:t>
            </w:r>
          </w:p>
        </w:tc>
      </w:tr>
      <w:tr>
        <w:tc>
          <w:tcPr>
            <w:tcW w:type="dxa" w:w="2835"/>
            <w:tcMar>
              <w:top w:w="80" w:type="dxa"/>
              <w:start w:w="90" w:type="dxa"/>
              <w:bottom w:w="80" w:type="dxa"/>
              <w:end w:w="90" w:type="dxa"/>
            </w:tcMar>
            <w:shd w:fill="FBF8F1"/>
          </w:tcPr>
          <w:p>
            <w:r>
              <w:rPr>
                <w:b/>
                <w:color w:val="0B1020"/>
              </w:rPr>
              <w:t>Autorin</w:t>
            </w:r>
          </w:p>
        </w:tc>
        <w:tc>
          <w:tcPr>
            <w:tcW w:type="dxa" w:w="6236"/>
            <w:tcMar>
              <w:top w:w="80" w:type="dxa"/>
              <w:start w:w="90" w:type="dxa"/>
              <w:bottom w:w="80" w:type="dxa"/>
              <w:end w:w="90" w:type="dxa"/>
            </w:tcMar>
          </w:tcPr>
          <w:p>
            <w:r>
              <w:t>Natalie Weber · Wirkungsökonomie</w:t>
            </w:r>
          </w:p>
        </w:tc>
      </w:tr>
      <w:tr>
        <w:tc>
          <w:tcPr>
            <w:tcW w:type="dxa" w:w="2835"/>
            <w:tcMar>
              <w:top w:w="80" w:type="dxa"/>
              <w:start w:w="90" w:type="dxa"/>
              <w:bottom w:w="80" w:type="dxa"/>
              <w:end w:w="90" w:type="dxa"/>
            </w:tcMar>
            <w:shd w:fill="FBF8F1"/>
          </w:tcPr>
          <w:p>
            <w:r>
              <w:rPr>
                <w:b/>
                <w:color w:val="0B1020"/>
              </w:rPr>
              <w:t>Öffentlichkeit</w:t>
            </w:r>
          </w:p>
        </w:tc>
        <w:tc>
          <w:tcPr>
            <w:tcW w:type="dxa" w:w="6236"/>
            <w:tcMar>
              <w:top w:w="80" w:type="dxa"/>
              <w:start w:w="90" w:type="dxa"/>
              <w:bottom w:w="80" w:type="dxa"/>
              <w:end w:w="90" w:type="dxa"/>
            </w:tcMar>
          </w:tcPr>
          <w:p>
            <w:r>
              <w:t>Enthält keine internen CodeX-/Repository-Anweisungen</w:t>
            </w:r>
          </w:p>
        </w:tc>
      </w:tr>
      <w:tr>
        <w:tc>
          <w:tcPr>
            <w:tcW w:type="dxa" w:w="2835"/>
            <w:tcMar>
              <w:top w:w="80" w:type="dxa"/>
              <w:start w:w="90" w:type="dxa"/>
              <w:bottom w:w="80" w:type="dxa"/>
              <w:end w:w="90" w:type="dxa"/>
            </w:tcMar>
            <w:shd w:fill="FBF8F1"/>
          </w:tcPr>
          <w:p>
            <w:r>
              <w:rPr>
                <w:b/>
                <w:color w:val="0B1020"/>
              </w:rPr>
              <w:t>Hinweis</w:t>
            </w:r>
          </w:p>
        </w:tc>
        <w:tc>
          <w:tcPr>
            <w:tcW w:type="dxa" w:w="6236"/>
            <w:tcMar>
              <w:top w:w="80" w:type="dxa"/>
              <w:start w:w="90" w:type="dxa"/>
              <w:bottom w:w="80" w:type="dxa"/>
              <w:end w:w="90" w:type="dxa"/>
            </w:tcMar>
          </w:tcPr>
          <w:p>
            <w:r>
              <w:t>Konzeptionelle Arbeitsfassung; keine Rechts-, Steuer-, Anlage-, Marketing- oder Unternehmensberatung.</w:t>
            </w:r>
          </w:p>
        </w:tc>
      </w:tr>
    </w:tbl>
    <w:p/>
    <w:p>
      <w:pPr>
        <w:pStyle w:val="Heading1"/>
      </w:pPr>
      <w:r>
        <w:t>Inhaltsübersicht</w:t>
      </w:r>
    </w:p>
    <w:p>
      <w:r>
        <w:rPr>
          <w:rFonts w:ascii="Arial" w:hAnsi="Arial"/>
          <w:color w:val="4B4F56"/>
          <w:sz w:val="18"/>
        </w:rPr>
        <w:t>1. Executive Summary</w:t>
      </w:r>
    </w:p>
    <w:p>
      <w:r>
        <w:rPr>
          <w:rFonts w:ascii="Arial" w:hAnsi="Arial"/>
          <w:color w:val="4B4F56"/>
          <w:sz w:val="18"/>
        </w:rPr>
        <w:t>2. Ausgangsdiagnose: Finanzlogik ohne Zustandswahrheit</w:t>
      </w:r>
    </w:p>
    <w:p>
      <w:r>
        <w:rPr>
          <w:rFonts w:ascii="Arial" w:hAnsi="Arial"/>
          <w:color w:val="4B4F56"/>
          <w:sz w:val="18"/>
        </w:rPr>
        <w:t>3. Begriffsabgrenzung: Bilanz, Wirkungsbilanz und Wirkungskapital</w:t>
      </w:r>
    </w:p>
    <w:p>
      <w:r>
        <w:rPr>
          <w:rFonts w:ascii="Arial" w:hAnsi="Arial"/>
          <w:color w:val="4B4F56"/>
          <w:sz w:val="18"/>
        </w:rPr>
        <w:t>4. Zielbild: Integrierte Finanz- und Wirkungssteuerung</w:t>
      </w:r>
    </w:p>
    <w:p>
      <w:r>
        <w:rPr>
          <w:rFonts w:ascii="Arial" w:hAnsi="Arial"/>
          <w:color w:val="4B4F56"/>
          <w:sz w:val="18"/>
        </w:rPr>
        <w:t>5. Akteursgruppen: CFO, Banken, Investor:innen, Versicherungen und Öffentlichkeit</w:t>
      </w:r>
    </w:p>
    <w:p>
      <w:r>
        <w:rPr>
          <w:rFonts w:ascii="Arial" w:hAnsi="Arial"/>
          <w:color w:val="4B4F56"/>
          <w:sz w:val="18"/>
        </w:rPr>
        <w:t>6. Daten- und Indikatorenarchitektur</w:t>
      </w:r>
    </w:p>
    <w:p>
      <w:r>
        <w:rPr>
          <w:rFonts w:ascii="Arial" w:hAnsi="Arial"/>
          <w:color w:val="4B4F56"/>
          <w:sz w:val="18"/>
        </w:rPr>
        <w:t>7. CapEx und Opex nach Wirkung</w:t>
      </w:r>
    </w:p>
    <w:p>
      <w:r>
        <w:rPr>
          <w:rFonts w:ascii="Arial" w:hAnsi="Arial"/>
          <w:color w:val="4B4F56"/>
          <w:sz w:val="18"/>
        </w:rPr>
        <w:t>8. Finanzierung und Kapitalzugang</w:t>
      </w:r>
    </w:p>
    <w:p>
      <w:r>
        <w:rPr>
          <w:rFonts w:ascii="Arial" w:hAnsi="Arial"/>
          <w:color w:val="4B4F56"/>
          <w:sz w:val="18"/>
        </w:rPr>
        <w:t>9. Finanzkommunikation: Von ESG-Bericht zu Wirkungsdialog</w:t>
      </w:r>
    </w:p>
    <w:p>
      <w:r>
        <w:rPr>
          <w:rFonts w:ascii="Arial" w:hAnsi="Arial"/>
          <w:color w:val="4B4F56"/>
          <w:sz w:val="18"/>
        </w:rPr>
        <w:t>10. Steuern, Fonds und Rückkopplung</w:t>
      </w:r>
    </w:p>
    <w:p>
      <w:r>
        <w:rPr>
          <w:rFonts w:ascii="Arial" w:hAnsi="Arial"/>
          <w:color w:val="4B4F56"/>
          <w:sz w:val="18"/>
        </w:rPr>
        <w:t>11. Praxisbeispiele und Szenarien</w:t>
      </w:r>
    </w:p>
    <w:p>
      <w:r>
        <w:rPr>
          <w:rFonts w:ascii="Arial" w:hAnsi="Arial"/>
          <w:color w:val="4B4F56"/>
          <w:sz w:val="18"/>
        </w:rPr>
        <w:t>12. Tool- und Rechnerbezug</w:t>
      </w:r>
    </w:p>
    <w:p>
      <w:r>
        <w:rPr>
          <w:rFonts w:ascii="Arial" w:hAnsi="Arial"/>
          <w:color w:val="4B4F56"/>
          <w:sz w:val="18"/>
        </w:rPr>
        <w:t>13. SDG-/SDG+-Bezug</w:t>
      </w:r>
    </w:p>
    <w:p>
      <w:r>
        <w:rPr>
          <w:rFonts w:ascii="Arial" w:hAnsi="Arial"/>
          <w:color w:val="4B4F56"/>
          <w:sz w:val="18"/>
        </w:rPr>
        <w:t>14. Politische Anschlussfähigkeit und Umsetzungsoptionen</w:t>
      </w:r>
    </w:p>
    <w:p>
      <w:r>
        <w:rPr>
          <w:rFonts w:ascii="Arial" w:hAnsi="Arial"/>
          <w:color w:val="4B4F56"/>
          <w:sz w:val="18"/>
        </w:rPr>
        <w:t>15. Website- und Portalintegration</w:t>
      </w:r>
    </w:p>
    <w:p>
      <w:r>
        <w:rPr>
          <w:rFonts w:ascii="Arial" w:hAnsi="Arial"/>
          <w:color w:val="4B4F56"/>
          <w:sz w:val="18"/>
        </w:rPr>
        <w:t>16. Fazit</w:t>
      </w:r>
    </w:p>
    <w:p>
      <w:r>
        <w:br w:type="page"/>
      </w:r>
    </w:p>
    <w:p>
      <w:pPr>
        <w:pStyle w:val="Heading1"/>
      </w:pPr>
      <w:r>
        <w:t>Executive Summary</w:t>
      </w:r>
    </w:p>
    <w:p>
      <w:r>
        <w:rPr>
          <w:rFonts w:ascii="Arial" w:hAnsi="Arial"/>
          <w:color w:val="4B4F56"/>
          <w:sz w:val="19"/>
        </w:rPr>
        <w:t>Unternehmensfinanzierung ist einer der stärksten Hebel der Wirkungsökonomie. Solange Bilanz, Finanzierung, CapEx, Opex, Finanzkommunikation und Kapitalzugang primär nach Rendite, Liquidität und Risiko im engen finanziellen Sinn gesteuert werden, bleibt Wirkung ein Nebenbericht. Erst wenn Wirkung in Investitionsentscheidungen, Finanzierungskosten, Versicherbarkeit, Rückstellungen, Portfoliobewertungen und Finanzkommunikation zurückwirkt, wird sie Unternehmensrealität.</w:t>
      </w:r>
    </w:p>
    <w:p>
      <w:r>
        <w:rPr>
          <w:rFonts w:ascii="Arial" w:hAnsi="Arial"/>
          <w:color w:val="4B4F56"/>
          <w:sz w:val="19"/>
        </w:rPr>
        <w:t>Dieses Detailkonzept beschreibt eine Brückenlogik zwischen heutiger Finanzwelt und Wirkungsökonomie. Es ersetzt Rechnungslegung nicht, sondern ergänzt sie um eine Wirkungslesart: Welche Investitionen sichern Zukunftsfähigkeit? Welche Kosten sind Reparaturkosten falscher Wirkung? Welche Vermögenswerte sind durch Klima-, Sozial-, Demokratie-, Regulierungs- oder Reputationsrisiken gefährdet? Welche Finanzierungsstrukturen verstärken positive Netto-Wirkung?</w:t>
      </w:r>
    </w:p>
    <w:p>
      <w:r>
        <w:rPr>
          <w:rFonts w:ascii="Arial" w:hAnsi="Arial"/>
          <w:color w:val="4B4F56"/>
          <w:sz w:val="19"/>
        </w:rPr>
        <w:t>Finanzkommunikation nach Wirkung meint nicht schöne Nachhaltigkeitskapitel im Geschäftsbericht. Sie meint eine integrierte Darstellung, wie Kapital eingesetzt wird, welche Wirkungen daraus entstehen, welche Risiken bestehen, welche Transformationspfade finanziert werden und wie das Unternehmen mit negativen Wirkungen umgeht.</w:t>
      </w:r>
    </w:p>
    <w:tbl>
      <w:tblPr>
        <w:tblW w:type="auto" w:w="0"/>
        <w:jc w:val="center"/>
        <w:tblLook w:firstColumn="1" w:firstRow="1" w:lastColumn="0" w:lastRow="0" w:noHBand="0" w:noVBand="1" w:val="04A0"/>
        <w:tblBorders>
          <w:top w:val="single" w:sz="6" w:space="0" w:color="E6DFD4"/>
          <w:left w:val="single" w:sz="6" w:space="0" w:color="E6DFD4"/>
          <w:bottom w:val="single" w:sz="6" w:space="0" w:color="E6DFD4"/>
          <w:right w:val="single" w:sz="6" w:space="0" w:color="E6DFD4"/>
          <w:insideH w:val="single" w:sz="6" w:space="0" w:color="E6DFD4"/>
          <w:insideV w:val="single" w:sz="6" w:space="0" w:color="E6DFD4"/>
        </w:tblBorders>
      </w:tblPr>
      <w:tblGrid>
        <w:gridCol w:w="9809"/>
      </w:tblGrid>
      <w:tr>
        <w:tc>
          <w:tcPr>
            <w:tcW w:type="dxa" w:w="9809"/>
            <w:shd w:fill="FBF8F1"/>
            <w:tcMar>
              <w:top w:w="180" w:type="dxa"/>
              <w:start w:w="200" w:type="dxa"/>
              <w:bottom w:w="180" w:type="dxa"/>
              <w:end w:w="200" w:type="dxa"/>
            </w:tcMar>
          </w:tcPr>
          <w:p>
            <w:r>
              <w:rPr>
                <w:rFonts w:ascii="Arial" w:hAnsi="Arial"/>
                <w:b/>
                <w:color w:val="C89B3C"/>
                <w:sz w:val="16"/>
              </w:rPr>
              <w:t>KERNSATZ</w:t>
            </w:r>
          </w:p>
          <w:p>
            <w:r>
              <w:rPr>
                <w:rFonts w:ascii="Georgia" w:hAnsi="Georgia"/>
                <w:b/>
                <w:color w:val="0B1020"/>
                <w:sz w:val="26"/>
              </w:rPr>
              <w:t>Die Bilanz zeigt, was ein Unternehmen besitzt und schuldet. Die Wirkungsbilanz zeigt, welche Zukunftsfähigkeit es aufbaut oder verbraucht.</w:t>
            </w:r>
          </w:p>
        </w:tc>
      </w:tr>
    </w:tbl>
    <w:p/>
    <w:p>
      <w:pPr>
        <w:pStyle w:val="Heading1"/>
      </w:pPr>
      <w:r>
        <w:t>Ausgangsdiagnose: Finanzlogik ohne Zustandswahrheit</w:t>
      </w:r>
    </w:p>
    <w:p>
      <w:r>
        <w:rPr>
          <w:rFonts w:ascii="Arial" w:hAnsi="Arial"/>
          <w:color w:val="4B4F56"/>
          <w:sz w:val="19"/>
        </w:rPr>
        <w:t>Die klassische Finanzlogik unterscheidet präzise zwischen Vermögen, Schulden, Ertrag, Aufwand, Cashflow, Rückstellungen, Investitionen und Finanzierung. Diese Präzision ist wertvoll. Sie wird aber problematisch, wenn sie so tut, als sei finanzieller Wert unabhängig von realen Wirkungsbedingungen.</w:t>
      </w:r>
    </w:p>
    <w:p>
      <w:r>
        <w:rPr>
          <w:rFonts w:ascii="Arial" w:hAnsi="Arial"/>
          <w:color w:val="4B4F56"/>
          <w:sz w:val="19"/>
        </w:rPr>
        <w:t>Ein fossiler Vermögenswert kann bilanziell werthaltig erscheinen und zugleich langfristig durch Regulierung, CO2-Kosten, Nachfrageverschiebung, Versicherbarkeit oder gesellschaftlichen Druck gefährdet sein. Eine Einsparung bei Wartung, Arbeitsschutz oder Lieferkette kann kurzfristig Opex senken und langfristig Risiken, Schäden und Vertrauensverluste erzeugen. Eine Investition in Prävention kann kurzfristig teuer wirken, aber Reparaturkosten, Ausfälle und Stranded Assets vermeiden.</w:t>
      </w:r>
    </w:p>
    <w:p>
      <w:r>
        <w:rPr>
          <w:rFonts w:ascii="Arial" w:hAnsi="Arial"/>
          <w:color w:val="4B4F56"/>
          <w:sz w:val="19"/>
        </w:rPr>
        <w:t>Die Wirkungsökonomie liest Finanzdaten deshalb als verdichtete Wirkungssignale. Kapital ist nicht neutral in seiner Wirkung. Es kann Zukunftsfähigkeit finanzieren oder Zukunft verbrauchen. Finanzkommunikation muss diese Richtung sichtbar machen.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3969"/>
            <w:shd w:fill="0B1020"/>
            <w:tcMar>
              <w:top w:w="90" w:type="dxa"/>
              <w:start w:w="90" w:type="dxa"/>
              <w:bottom w:w="90" w:type="dxa"/>
              <w:end w:w="90" w:type="dxa"/>
            </w:tcMar>
          </w:tcPr>
          <w:p>
            <w:r>
              <w:rPr>
                <w:b/>
                <w:color w:val="FFFFFF"/>
              </w:rPr>
              <w:t>Klassische Finanzfrage</w:t>
            </w:r>
          </w:p>
        </w:tc>
        <w:tc>
          <w:tcPr>
            <w:tcW w:type="dxa" w:w="5102"/>
            <w:shd w:fill="0B1020"/>
            <w:tcMar>
              <w:top w:w="90" w:type="dxa"/>
              <w:start w:w="90" w:type="dxa"/>
              <w:bottom w:w="90" w:type="dxa"/>
              <w:end w:w="90" w:type="dxa"/>
            </w:tcMar>
          </w:tcPr>
          <w:p>
            <w:r>
              <w:rPr>
                <w:b/>
                <w:color w:val="FFFFFF"/>
              </w:rPr>
              <w:t>Wirkungsökonomische Zusatzfrage</w:t>
            </w:r>
          </w:p>
        </w:tc>
      </w:tr>
      <w:tr>
        <w:tc>
          <w:tcPr>
            <w:tcW w:type="dxa" w:w="3969"/>
            <w:tcMar>
              <w:top w:w="80" w:type="dxa"/>
              <w:start w:w="90" w:type="dxa"/>
              <w:bottom w:w="80" w:type="dxa"/>
              <w:end w:w="90" w:type="dxa"/>
            </w:tcMar>
            <w:shd w:fill="FBF8F1"/>
          </w:tcPr>
          <w:p>
            <w:r>
              <w:rPr>
                <w:b/>
                <w:color w:val="0B1020"/>
              </w:rPr>
              <w:t>Was kostet die Investition?</w:t>
            </w:r>
          </w:p>
        </w:tc>
        <w:tc>
          <w:tcPr>
            <w:tcW w:type="dxa" w:w="5102"/>
            <w:tcMar>
              <w:top w:w="80" w:type="dxa"/>
              <w:start w:w="90" w:type="dxa"/>
              <w:bottom w:w="80" w:type="dxa"/>
              <w:end w:w="90" w:type="dxa"/>
            </w:tcMar>
          </w:tcPr>
          <w:p>
            <w:r>
              <w:t>Welche Zustandsveränderung erzeugt sie und welche Risiken vermeidet sie?</w:t>
            </w:r>
          </w:p>
        </w:tc>
      </w:tr>
      <w:tr>
        <w:tc>
          <w:tcPr>
            <w:tcW w:type="dxa" w:w="3969"/>
            <w:tcMar>
              <w:top w:w="80" w:type="dxa"/>
              <w:start w:w="90" w:type="dxa"/>
              <w:bottom w:w="80" w:type="dxa"/>
              <w:end w:w="90" w:type="dxa"/>
            </w:tcMar>
            <w:shd w:fill="FBF8F1"/>
          </w:tcPr>
          <w:p>
            <w:r>
              <w:rPr>
                <w:b/>
                <w:color w:val="0B1020"/>
              </w:rPr>
              <w:t>Wie hoch ist der ROI?</w:t>
            </w:r>
          </w:p>
        </w:tc>
        <w:tc>
          <w:tcPr>
            <w:tcW w:type="dxa" w:w="5102"/>
            <w:tcMar>
              <w:top w:w="80" w:type="dxa"/>
              <w:start w:w="90" w:type="dxa"/>
              <w:bottom w:w="80" w:type="dxa"/>
              <w:end w:w="90" w:type="dxa"/>
            </w:tcMar>
          </w:tcPr>
          <w:p>
            <w:r>
              <w:t>Wie hoch sind NWI und T-SROI unter Berücksichtigung negativer Wirkungen?</w:t>
            </w:r>
          </w:p>
        </w:tc>
      </w:tr>
      <w:tr>
        <w:tc>
          <w:tcPr>
            <w:tcW w:type="dxa" w:w="3969"/>
            <w:tcMar>
              <w:top w:w="80" w:type="dxa"/>
              <w:start w:w="90" w:type="dxa"/>
              <w:bottom w:w="80" w:type="dxa"/>
              <w:end w:w="90" w:type="dxa"/>
            </w:tcMar>
            <w:shd w:fill="FBF8F1"/>
          </w:tcPr>
          <w:p>
            <w:r>
              <w:rPr>
                <w:b/>
                <w:color w:val="0B1020"/>
              </w:rPr>
              <w:t>Ist der Vermögenswert werthaltig?</w:t>
            </w:r>
          </w:p>
        </w:tc>
        <w:tc>
          <w:tcPr>
            <w:tcW w:type="dxa" w:w="5102"/>
            <w:tcMar>
              <w:top w:w="80" w:type="dxa"/>
              <w:start w:w="90" w:type="dxa"/>
              <w:bottom w:w="80" w:type="dxa"/>
              <w:end w:w="90" w:type="dxa"/>
            </w:tcMar>
          </w:tcPr>
          <w:p>
            <w:r>
              <w:t>Ist er wirkungsresilient oder droht Stranding?</w:t>
            </w:r>
          </w:p>
        </w:tc>
      </w:tr>
      <w:tr>
        <w:tc>
          <w:tcPr>
            <w:tcW w:type="dxa" w:w="3969"/>
            <w:tcMar>
              <w:top w:w="80" w:type="dxa"/>
              <w:start w:w="90" w:type="dxa"/>
              <w:bottom w:w="80" w:type="dxa"/>
              <w:end w:w="90" w:type="dxa"/>
            </w:tcMar>
            <w:shd w:fill="FBF8F1"/>
          </w:tcPr>
          <w:p>
            <w:r>
              <w:rPr>
                <w:b/>
                <w:color w:val="0B1020"/>
              </w:rPr>
              <w:t>Wie wirkt die Maßnahme auf EBITDA?</w:t>
            </w:r>
          </w:p>
        </w:tc>
        <w:tc>
          <w:tcPr>
            <w:tcW w:type="dxa" w:w="5102"/>
            <w:tcMar>
              <w:top w:w="80" w:type="dxa"/>
              <w:start w:w="90" w:type="dxa"/>
              <w:bottom w:w="80" w:type="dxa"/>
              <w:end w:w="90" w:type="dxa"/>
            </w:tcMar>
          </w:tcPr>
          <w:p>
            <w:r>
              <w:t>Welche Blind-, Schein- oder Verlustleistung entsteht oder sinkt?</w:t>
            </w:r>
          </w:p>
        </w:tc>
      </w:tr>
      <w:tr>
        <w:tc>
          <w:tcPr>
            <w:tcW w:type="dxa" w:w="3969"/>
            <w:tcMar>
              <w:top w:w="80" w:type="dxa"/>
              <w:start w:w="90" w:type="dxa"/>
              <w:bottom w:w="80" w:type="dxa"/>
              <w:end w:w="90" w:type="dxa"/>
            </w:tcMar>
            <w:shd w:fill="FBF8F1"/>
          </w:tcPr>
          <w:p>
            <w:r>
              <w:rPr>
                <w:b/>
                <w:color w:val="0B1020"/>
              </w:rPr>
              <w:t>Wie kommunizieren wir an Investoren?</w:t>
            </w:r>
          </w:p>
        </w:tc>
        <w:tc>
          <w:tcPr>
            <w:tcW w:type="dxa" w:w="5102"/>
            <w:tcMar>
              <w:top w:w="80" w:type="dxa"/>
              <w:start w:w="90" w:type="dxa"/>
              <w:bottom w:w="80" w:type="dxa"/>
              <w:end w:w="90" w:type="dxa"/>
            </w:tcMar>
          </w:tcPr>
          <w:p>
            <w:r>
              <w:t>Welche Wirkungsdaten, Unsicherheiten und Übergangspfade werden offen gelegt?</w:t>
            </w:r>
          </w:p>
        </w:tc>
      </w:tr>
    </w:tbl>
    <w:p/>
    <w:p>
      <w:pPr>
        <w:pStyle w:val="Heading1"/>
      </w:pPr>
      <w:r>
        <w:t>Begriffsabgrenzung: Bilanz, Wirkungsbilanz und Wirkungskapital</w:t>
      </w:r>
    </w:p>
    <w:p>
      <w:r>
        <w:rPr>
          <w:rFonts w:ascii="Arial" w:hAnsi="Arial"/>
          <w:color w:val="4B4F56"/>
          <w:sz w:val="19"/>
        </w:rPr>
        <w:t>Eine Wirkungsbilanz ist keine zweite gesetzliche Bilanz im engeren Sinn. Sie ist eine Auswertungs- und Steuerungslogik, die Finanzdaten mit Wirkungsdaten verbindet. Sie fragt, welche Vermögenswerte, Prozesse und Kapitalflüsse positive Netto-Wirkung erzeugen, welche nur Scheinleistung darstellen und welche Zukunftskosten auslösen.</w:t>
      </w:r>
    </w:p>
    <w:p>
      <w:r>
        <w:rPr>
          <w:rFonts w:ascii="Arial" w:hAnsi="Arial"/>
          <w:color w:val="4B4F56"/>
          <w:sz w:val="19"/>
        </w:rPr>
        <w:t>Wirkungskapital bezeichnet Kapital, das nicht nur Rendite sucht, sondern zur Verstärkung positiver Netto-Wirkung eingesetzt wird. Es kann Eigenkapital, Fremdkapital, öffentliche Mittel, Fördermittel, Wirkungsfonds oder Kund:innenfinanzierung umfassen. Entscheidend ist nicht die Etikettierung, sondern die tatsächliche Verwendung und Rückkopplung.</w:t>
      </w:r>
    </w:p>
    <w:p>
      <w:r>
        <w:rPr>
          <w:rFonts w:ascii="Arial" w:hAnsi="Arial"/>
          <w:color w:val="4B4F56"/>
          <w:sz w:val="19"/>
        </w:rPr>
        <w:t>CapEx und Opex werden wirkungsökonomisch neu gelesen. CapEx kann Transformation finanzieren oder alte Pfade verlängern. Opex kann Reparaturaufwand falscher Wirkung sein oder laufende Systempflege leisten. Nicht jede Kostenreduktion ist Effizienz; manche ist verschobener Schaden.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Begriff</w:t>
            </w:r>
          </w:p>
        </w:tc>
        <w:tc>
          <w:tcPr>
            <w:tcW w:type="dxa" w:w="6236"/>
            <w:shd w:fill="0B1020"/>
            <w:tcMar>
              <w:top w:w="90" w:type="dxa"/>
              <w:start w:w="90" w:type="dxa"/>
              <w:bottom w:w="90" w:type="dxa"/>
              <w:end w:w="90" w:type="dxa"/>
            </w:tcMar>
          </w:tcPr>
          <w:p>
            <w:r>
              <w:rPr>
                <w:b/>
                <w:color w:val="FFFFFF"/>
              </w:rPr>
              <w:t>Wirkungsökonomische Bedeutung</w:t>
            </w:r>
          </w:p>
        </w:tc>
      </w:tr>
      <w:tr>
        <w:tc>
          <w:tcPr>
            <w:tcW w:type="dxa" w:w="2835"/>
            <w:tcMar>
              <w:top w:w="80" w:type="dxa"/>
              <w:start w:w="90" w:type="dxa"/>
              <w:bottom w:w="80" w:type="dxa"/>
              <w:end w:w="90" w:type="dxa"/>
            </w:tcMar>
            <w:shd w:fill="FBF8F1"/>
          </w:tcPr>
          <w:p>
            <w:r>
              <w:rPr>
                <w:b/>
                <w:color w:val="0B1020"/>
              </w:rPr>
              <w:t>Wirkungsbilanz</w:t>
            </w:r>
          </w:p>
        </w:tc>
        <w:tc>
          <w:tcPr>
            <w:tcW w:type="dxa" w:w="6236"/>
            <w:tcMar>
              <w:top w:w="80" w:type="dxa"/>
              <w:start w:w="90" w:type="dxa"/>
              <w:bottom w:w="80" w:type="dxa"/>
              <w:end w:w="90" w:type="dxa"/>
            </w:tcMar>
          </w:tcPr>
          <w:p>
            <w:r>
              <w:t>Verbindung finanzieller Werte mit Zustandsveränderungen und Zukunftsrisiken</w:t>
            </w:r>
          </w:p>
        </w:tc>
      </w:tr>
      <w:tr>
        <w:tc>
          <w:tcPr>
            <w:tcW w:type="dxa" w:w="2835"/>
            <w:tcMar>
              <w:top w:w="80" w:type="dxa"/>
              <w:start w:w="90" w:type="dxa"/>
              <w:bottom w:w="80" w:type="dxa"/>
              <w:end w:w="90" w:type="dxa"/>
            </w:tcMar>
            <w:shd w:fill="FBF8F1"/>
          </w:tcPr>
          <w:p>
            <w:r>
              <w:rPr>
                <w:b/>
                <w:color w:val="0B1020"/>
              </w:rPr>
              <w:t>Wirkungskapital</w:t>
            </w:r>
          </w:p>
        </w:tc>
        <w:tc>
          <w:tcPr>
            <w:tcW w:type="dxa" w:w="6236"/>
            <w:tcMar>
              <w:top w:w="80" w:type="dxa"/>
              <w:start w:w="90" w:type="dxa"/>
              <w:bottom w:w="80" w:type="dxa"/>
              <w:end w:w="90" w:type="dxa"/>
            </w:tcMar>
          </w:tcPr>
          <w:p>
            <w:r>
              <w:t>Kapital, das positive Netto-Wirkung finanziert und messbar rückgekoppelt wird</w:t>
            </w:r>
          </w:p>
        </w:tc>
      </w:tr>
      <w:tr>
        <w:tc>
          <w:tcPr>
            <w:tcW w:type="dxa" w:w="2835"/>
            <w:tcMar>
              <w:top w:w="80" w:type="dxa"/>
              <w:start w:w="90" w:type="dxa"/>
              <w:bottom w:w="80" w:type="dxa"/>
              <w:end w:w="90" w:type="dxa"/>
            </w:tcMar>
            <w:shd w:fill="FBF8F1"/>
          </w:tcPr>
          <w:p>
            <w:r>
              <w:rPr>
                <w:b/>
                <w:color w:val="0B1020"/>
              </w:rPr>
              <w:t>Transformations-CapEx</w:t>
            </w:r>
          </w:p>
        </w:tc>
        <w:tc>
          <w:tcPr>
            <w:tcW w:type="dxa" w:w="6236"/>
            <w:tcMar>
              <w:top w:w="80" w:type="dxa"/>
              <w:start w:w="90" w:type="dxa"/>
              <w:bottom w:w="80" w:type="dxa"/>
              <w:end w:w="90" w:type="dxa"/>
            </w:tcMar>
          </w:tcPr>
          <w:p>
            <w:r>
              <w:t>Investitionen, die Geschäftsmodell, Produkte oder Infrastruktur in Richtung positiver Wirkung verschieben</w:t>
            </w:r>
          </w:p>
        </w:tc>
      </w:tr>
      <w:tr>
        <w:tc>
          <w:tcPr>
            <w:tcW w:type="dxa" w:w="2835"/>
            <w:tcMar>
              <w:top w:w="80" w:type="dxa"/>
              <w:start w:w="90" w:type="dxa"/>
              <w:bottom w:w="80" w:type="dxa"/>
              <w:end w:w="90" w:type="dxa"/>
            </w:tcMar>
            <w:shd w:fill="FBF8F1"/>
          </w:tcPr>
          <w:p>
            <w:r>
              <w:rPr>
                <w:b/>
                <w:color w:val="0B1020"/>
              </w:rPr>
              <w:t>Reparatur-Opex</w:t>
            </w:r>
          </w:p>
        </w:tc>
        <w:tc>
          <w:tcPr>
            <w:tcW w:type="dxa" w:w="6236"/>
            <w:tcMar>
              <w:top w:w="80" w:type="dxa"/>
              <w:start w:w="90" w:type="dxa"/>
              <w:bottom w:w="80" w:type="dxa"/>
              <w:end w:w="90" w:type="dxa"/>
            </w:tcMar>
          </w:tcPr>
          <w:p>
            <w:r>
              <w:t>laufende Kosten, die aus früherer negativer Wirkung entstehen</w:t>
            </w:r>
          </w:p>
        </w:tc>
      </w:tr>
      <w:tr>
        <w:tc>
          <w:tcPr>
            <w:tcW w:type="dxa" w:w="2835"/>
            <w:tcMar>
              <w:top w:w="80" w:type="dxa"/>
              <w:start w:w="90" w:type="dxa"/>
              <w:bottom w:w="80" w:type="dxa"/>
              <w:end w:w="90" w:type="dxa"/>
            </w:tcMar>
            <w:shd w:fill="FBF8F1"/>
          </w:tcPr>
          <w:p>
            <w:r>
              <w:rPr>
                <w:b/>
                <w:color w:val="0B1020"/>
              </w:rPr>
              <w:t>Stranded Asset</w:t>
            </w:r>
          </w:p>
        </w:tc>
        <w:tc>
          <w:tcPr>
            <w:tcW w:type="dxa" w:w="6236"/>
            <w:tcMar>
              <w:top w:w="80" w:type="dxa"/>
              <w:start w:w="90" w:type="dxa"/>
              <w:bottom w:w="80" w:type="dxa"/>
              <w:end w:w="90" w:type="dxa"/>
            </w:tcMar>
          </w:tcPr>
          <w:p>
            <w:r>
              <w:t>Vermögenswert, dessen Wert durch Wirkungsrisiken, Regulierung oder Systemwandel verfällt</w:t>
            </w:r>
          </w:p>
        </w:tc>
      </w:tr>
    </w:tbl>
    <w:p/>
    <w:p>
      <w:pPr>
        <w:pStyle w:val="Heading1"/>
      </w:pPr>
      <w:r>
        <w:t>Zielbild: Integrierte Finanz- und Wirkungssteuerung</w:t>
      </w:r>
    </w:p>
    <w:p>
      <w:r>
        <w:rPr>
          <w:rFonts w:ascii="Arial" w:hAnsi="Arial"/>
          <w:color w:val="4B4F56"/>
          <w:sz w:val="19"/>
        </w:rPr>
        <w:t>Das Ziel ist keine Überfrachtung der Buchhaltung. Das Ziel ist eine integrierte Steuerungsarchitektur. Investitionsanträge, Budgetrunden, Risikoausschüsse, Kreditanfragen, Versicherungsdialoge, Investor Relations und Geschäftsberichte sollen dieselbe Grundfrage beantworten können: Welche Wirkung erzeugt dieses Kapital?</w:t>
      </w:r>
    </w:p>
    <w:p>
      <w:r>
        <w:rPr>
          <w:rFonts w:ascii="Arial" w:hAnsi="Arial"/>
          <w:color w:val="4B4F56"/>
          <w:sz w:val="19"/>
        </w:rPr>
        <w:t>In der Praxis entsteht eine Brücke zwischen CFO, Controlling, Nachhaltigkeit, Risiko, Einkauf, Produktentwicklung und Kommunikation. Finanzdaten bleiben führend für Liquidität und Stabilität; Wirkungsdaten ergänzen sie um Richtung, Risiko, Resilienz und Legitimität.</w:t>
      </w:r>
    </w:p>
    <w:p>
      <w:r>
        <w:rPr>
          <w:rFonts w:ascii="Arial" w:hAnsi="Arial"/>
          <w:color w:val="4B4F56"/>
          <w:sz w:val="19"/>
        </w:rPr>
        <w:t>Die Finanzfunktion wird dadurch nicht moralisiert, sondern realitätsfähiger. Banken, Versicherungen und Kapitalmärkte fragen ohnehin zunehmend nach ESG-, Klima-, Sozial- und Governance-Risiken. Die Wirkungsökonomie übersetzt diese fragmentierte Risikofrage in eine konsistente Wirkungsarchitektur.</w:t>
      </w:r>
    </w:p>
    <w:tbl>
      <w:tblPr>
        <w:tblW w:type="auto" w:w="0"/>
        <w:jc w:val="center"/>
        <w:tblLook w:firstColumn="1" w:firstRow="1" w:lastColumn="0" w:lastRow="0" w:noHBand="0" w:noVBand="1" w:val="04A0"/>
        <w:tblBorders>
          <w:top w:val="single" w:sz="6" w:space="0" w:color="E6DFD4"/>
          <w:left w:val="single" w:sz="6" w:space="0" w:color="E6DFD4"/>
          <w:bottom w:val="single" w:sz="6" w:space="0" w:color="E6DFD4"/>
          <w:right w:val="single" w:sz="6" w:space="0" w:color="E6DFD4"/>
          <w:insideH w:val="single" w:sz="6" w:space="0" w:color="E6DFD4"/>
          <w:insideV w:val="single" w:sz="6" w:space="0" w:color="E6DFD4"/>
        </w:tblBorders>
      </w:tblPr>
      <w:tblGrid>
        <w:gridCol w:w="9809"/>
      </w:tblGrid>
      <w:tr>
        <w:tc>
          <w:tcPr>
            <w:tcW w:type="dxa" w:w="9809"/>
            <w:shd w:fill="FBF8F1"/>
            <w:tcMar>
              <w:top w:w="180" w:type="dxa"/>
              <w:start w:w="200" w:type="dxa"/>
              <w:bottom w:w="180" w:type="dxa"/>
              <w:end w:w="200" w:type="dxa"/>
            </w:tcMar>
          </w:tcPr>
          <w:p>
            <w:r>
              <w:rPr>
                <w:rFonts w:ascii="Arial" w:hAnsi="Arial"/>
                <w:b/>
                <w:color w:val="C89B3C"/>
                <w:sz w:val="16"/>
              </w:rPr>
              <w:t>ZIELBILD</w:t>
            </w:r>
          </w:p>
          <w:p>
            <w:r>
              <w:rPr>
                <w:rFonts w:ascii="Georgia" w:hAnsi="Georgia"/>
                <w:b/>
                <w:color w:val="0B1020"/>
                <w:sz w:val="26"/>
              </w:rPr>
              <w:t>Jede wesentliche Finanzentscheidung erhält eine Wirkungsspur: Daten, Score, Risiko, Transformationspfad und Korrekturlogik.</w:t>
            </w:r>
          </w:p>
        </w:tc>
      </w:tr>
    </w:tbl>
    <w:p/>
    <w:p>
      <w:pPr>
        <w:pStyle w:val="Heading1"/>
      </w:pPr>
      <w:r>
        <w:t>Akteursgruppen: CFO, Banken, Investor:innen, Versicherungen und Öffentlichkeit</w:t>
      </w:r>
    </w:p>
    <w:p>
      <w:r>
        <w:rPr>
          <w:rFonts w:ascii="Arial" w:hAnsi="Arial"/>
          <w:color w:val="4B4F56"/>
          <w:sz w:val="19"/>
        </w:rPr>
        <w:t>Finanzkommunikation nach Wirkung ist ein Mehr-Akteurs-Thema. CFO und Controlling brauchen entscheidungsfähige Kennzahlen. Banken brauchen Risikodaten und Transformationspläne. Investor:innen brauchen belastbare Auskunft über Kapitalwirkung, Stranding-Risiken und Wertentwicklung. Versicherungen brauchen Informationen über physische, soziale, operative und Governance-Risiken. Öffentlichkeit und Beschäftigte brauchen Vertrauen, dass Wirkung nicht nur behauptet wird.</w:t>
      </w:r>
    </w:p>
    <w:p>
      <w:r>
        <w:rPr>
          <w:rFonts w:ascii="Arial" w:hAnsi="Arial"/>
          <w:color w:val="4B4F56"/>
          <w:sz w:val="19"/>
        </w:rPr>
        <w:t>Gerade KMU dürfen dabei nicht überfordert werden. Die Wirkungsökonomie unterscheidet zwischen tiefer Konzernarchitektur und vereinfachten KMU-Brücken: wenige Kernindikatoren, standardisierte Branchenprofile, Bankenschnittstellen, Förderlotsen und sichere Datennutzung.</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3270"/>
        <w:gridCol w:w="3270"/>
        <w:gridCol w:w="3270"/>
      </w:tblGrid>
      <w:tr>
        <w:trPr>
          <w:tblHeader w:val="true"/>
        </w:trPr>
        <w:tc>
          <w:tcPr>
            <w:tcW w:type="dxa" w:w="2268"/>
            <w:shd w:fill="0B1020"/>
            <w:tcMar>
              <w:top w:w="90" w:type="dxa"/>
              <w:start w:w="90" w:type="dxa"/>
              <w:bottom w:w="90" w:type="dxa"/>
              <w:end w:w="90" w:type="dxa"/>
            </w:tcMar>
          </w:tcPr>
          <w:p>
            <w:r>
              <w:rPr>
                <w:b/>
                <w:color w:val="FFFFFF"/>
              </w:rPr>
              <w:t>Akteur</w:t>
            </w:r>
          </w:p>
        </w:tc>
        <w:tc>
          <w:tcPr>
            <w:tcW w:type="dxa" w:w="3402"/>
            <w:shd w:fill="0B1020"/>
            <w:tcMar>
              <w:top w:w="90" w:type="dxa"/>
              <w:start w:w="90" w:type="dxa"/>
              <w:bottom w:w="90" w:type="dxa"/>
              <w:end w:w="90" w:type="dxa"/>
            </w:tcMar>
          </w:tcPr>
          <w:p>
            <w:r>
              <w:rPr>
                <w:b/>
                <w:color w:val="FFFFFF"/>
              </w:rPr>
              <w:t>Informationsbedarf</w:t>
            </w:r>
          </w:p>
        </w:tc>
        <w:tc>
          <w:tcPr>
            <w:tcW w:type="dxa" w:w="3402"/>
            <w:shd w:fill="0B1020"/>
            <w:tcMar>
              <w:top w:w="90" w:type="dxa"/>
              <w:start w:w="90" w:type="dxa"/>
              <w:bottom w:w="90" w:type="dxa"/>
              <w:end w:w="90" w:type="dxa"/>
            </w:tcMar>
          </w:tcPr>
          <w:p>
            <w:r>
              <w:rPr>
                <w:b/>
                <w:color w:val="FFFFFF"/>
              </w:rPr>
              <w:t>WÖk-Antwort</w:t>
            </w:r>
          </w:p>
        </w:tc>
      </w:tr>
      <w:tr>
        <w:tc>
          <w:tcPr>
            <w:tcW w:type="dxa" w:w="2268"/>
            <w:tcMar>
              <w:top w:w="80" w:type="dxa"/>
              <w:start w:w="90" w:type="dxa"/>
              <w:bottom w:w="80" w:type="dxa"/>
              <w:end w:w="90" w:type="dxa"/>
            </w:tcMar>
            <w:shd w:fill="FBF8F1"/>
          </w:tcPr>
          <w:p>
            <w:r>
              <w:rPr>
                <w:b/>
                <w:color w:val="0B1020"/>
              </w:rPr>
              <w:t>CFO/Finance</w:t>
            </w:r>
          </w:p>
        </w:tc>
        <w:tc>
          <w:tcPr>
            <w:tcW w:type="dxa" w:w="3402"/>
            <w:tcMar>
              <w:top w:w="80" w:type="dxa"/>
              <w:start w:w="90" w:type="dxa"/>
              <w:bottom w:w="80" w:type="dxa"/>
              <w:end w:w="90" w:type="dxa"/>
            </w:tcMar>
          </w:tcPr>
          <w:p>
            <w:r>
              <w:t>Liquidität, Risiko, Rendite, Investitionspriorisierung</w:t>
            </w:r>
          </w:p>
        </w:tc>
        <w:tc>
          <w:tcPr>
            <w:tcW w:type="dxa" w:w="3402"/>
            <w:tcMar>
              <w:top w:w="80" w:type="dxa"/>
              <w:start w:w="90" w:type="dxa"/>
              <w:bottom w:w="80" w:type="dxa"/>
              <w:end w:w="90" w:type="dxa"/>
            </w:tcMar>
          </w:tcPr>
          <w:p>
            <w:r>
              <w:t>CapEx-Wirkungscheck, NWI, T-SROI, Stranding-Radar</w:t>
            </w:r>
          </w:p>
        </w:tc>
      </w:tr>
      <w:tr>
        <w:tc>
          <w:tcPr>
            <w:tcW w:type="dxa" w:w="2268"/>
            <w:tcMar>
              <w:top w:w="80" w:type="dxa"/>
              <w:start w:w="90" w:type="dxa"/>
              <w:bottom w:w="80" w:type="dxa"/>
              <w:end w:w="90" w:type="dxa"/>
            </w:tcMar>
            <w:shd w:fill="FBF8F1"/>
          </w:tcPr>
          <w:p>
            <w:r>
              <w:rPr>
                <w:b/>
                <w:color w:val="0B1020"/>
              </w:rPr>
              <w:t>Banken</w:t>
            </w:r>
          </w:p>
        </w:tc>
        <w:tc>
          <w:tcPr>
            <w:tcW w:type="dxa" w:w="3402"/>
            <w:tcMar>
              <w:top w:w="80" w:type="dxa"/>
              <w:start w:w="90" w:type="dxa"/>
              <w:bottom w:w="80" w:type="dxa"/>
              <w:end w:w="90" w:type="dxa"/>
            </w:tcMar>
          </w:tcPr>
          <w:p>
            <w:r>
              <w:t>Kreditrisiko, Transformationsplan, ESG-Risikomanagement</w:t>
            </w:r>
          </w:p>
        </w:tc>
        <w:tc>
          <w:tcPr>
            <w:tcW w:type="dxa" w:w="3402"/>
            <w:tcMar>
              <w:top w:w="80" w:type="dxa"/>
              <w:start w:w="90" w:type="dxa"/>
              <w:bottom w:w="80" w:type="dxa"/>
              <w:end w:w="90" w:type="dxa"/>
            </w:tcMar>
          </w:tcPr>
          <w:p>
            <w:r>
              <w:t>Wirkungskreditprofil, Datenqualität, Wirkungsrisiko</w:t>
            </w:r>
          </w:p>
        </w:tc>
      </w:tr>
      <w:tr>
        <w:tc>
          <w:tcPr>
            <w:tcW w:type="dxa" w:w="2268"/>
            <w:tcMar>
              <w:top w:w="80" w:type="dxa"/>
              <w:start w:w="90" w:type="dxa"/>
              <w:bottom w:w="80" w:type="dxa"/>
              <w:end w:w="90" w:type="dxa"/>
            </w:tcMar>
            <w:shd w:fill="FBF8F1"/>
          </w:tcPr>
          <w:p>
            <w:r>
              <w:rPr>
                <w:b/>
                <w:color w:val="0B1020"/>
              </w:rPr>
              <w:t>Investor:innen</w:t>
            </w:r>
          </w:p>
        </w:tc>
        <w:tc>
          <w:tcPr>
            <w:tcW w:type="dxa" w:w="3402"/>
            <w:tcMar>
              <w:top w:w="80" w:type="dxa"/>
              <w:start w:w="90" w:type="dxa"/>
              <w:bottom w:w="80" w:type="dxa"/>
              <w:end w:w="90" w:type="dxa"/>
            </w:tcMar>
          </w:tcPr>
          <w:p>
            <w:r>
              <w:t>Portfolio-Wirkung, Zukunftsfähigkeit, Transparenz</w:t>
            </w:r>
          </w:p>
        </w:tc>
        <w:tc>
          <w:tcPr>
            <w:tcW w:type="dxa" w:w="3402"/>
            <w:tcMar>
              <w:top w:w="80" w:type="dxa"/>
              <w:start w:w="90" w:type="dxa"/>
              <w:bottom w:w="80" w:type="dxa"/>
              <w:end w:w="90" w:type="dxa"/>
            </w:tcMar>
          </w:tcPr>
          <w:p>
            <w:r>
              <w:t>Kapitalwirkungsindex, Finanzkommunikation nach Wirkung</w:t>
            </w:r>
          </w:p>
        </w:tc>
      </w:tr>
      <w:tr>
        <w:tc>
          <w:tcPr>
            <w:tcW w:type="dxa" w:w="2268"/>
            <w:tcMar>
              <w:top w:w="80" w:type="dxa"/>
              <w:start w:w="90" w:type="dxa"/>
              <w:bottom w:w="80" w:type="dxa"/>
              <w:end w:w="90" w:type="dxa"/>
            </w:tcMar>
            <w:shd w:fill="FBF8F1"/>
          </w:tcPr>
          <w:p>
            <w:r>
              <w:rPr>
                <w:b/>
                <w:color w:val="0B1020"/>
              </w:rPr>
              <w:t>Versicherungen</w:t>
            </w:r>
          </w:p>
        </w:tc>
        <w:tc>
          <w:tcPr>
            <w:tcW w:type="dxa" w:w="3402"/>
            <w:tcMar>
              <w:top w:w="80" w:type="dxa"/>
              <w:start w:w="90" w:type="dxa"/>
              <w:bottom w:w="80" w:type="dxa"/>
              <w:end w:w="90" w:type="dxa"/>
            </w:tcMar>
          </w:tcPr>
          <w:p>
            <w:r>
              <w:t>Schadenwahrscheinlichkeit, Prävention, Resilienz</w:t>
            </w:r>
          </w:p>
        </w:tc>
        <w:tc>
          <w:tcPr>
            <w:tcW w:type="dxa" w:w="3402"/>
            <w:tcMar>
              <w:top w:w="80" w:type="dxa"/>
              <w:start w:w="90" w:type="dxa"/>
              <w:bottom w:w="80" w:type="dxa"/>
              <w:end w:w="90" w:type="dxa"/>
            </w:tcMar>
          </w:tcPr>
          <w:p>
            <w:r>
              <w:t>Versicherbarkeits- und Resilienzcheck</w:t>
            </w:r>
          </w:p>
        </w:tc>
      </w:tr>
      <w:tr>
        <w:tc>
          <w:tcPr>
            <w:tcW w:type="dxa" w:w="2268"/>
            <w:tcMar>
              <w:top w:w="80" w:type="dxa"/>
              <w:start w:w="90" w:type="dxa"/>
              <w:bottom w:w="80" w:type="dxa"/>
              <w:end w:w="90" w:type="dxa"/>
            </w:tcMar>
            <w:shd w:fill="FBF8F1"/>
          </w:tcPr>
          <w:p>
            <w:r>
              <w:rPr>
                <w:b/>
                <w:color w:val="0B1020"/>
              </w:rPr>
              <w:t>Öffentlichkeit/Beschäftigte</w:t>
            </w:r>
          </w:p>
        </w:tc>
        <w:tc>
          <w:tcPr>
            <w:tcW w:type="dxa" w:w="3402"/>
            <w:tcMar>
              <w:top w:w="80" w:type="dxa"/>
              <w:start w:w="90" w:type="dxa"/>
              <w:bottom w:w="80" w:type="dxa"/>
              <w:end w:w="90" w:type="dxa"/>
            </w:tcMar>
          </w:tcPr>
          <w:p>
            <w:r>
              <w:t>Vertrauen, Verständlichkeit, Verantwortung</w:t>
            </w:r>
          </w:p>
        </w:tc>
        <w:tc>
          <w:tcPr>
            <w:tcW w:type="dxa" w:w="3402"/>
            <w:tcMar>
              <w:top w:w="80" w:type="dxa"/>
              <w:start w:w="90" w:type="dxa"/>
              <w:bottom w:w="80" w:type="dxa"/>
              <w:end w:w="90" w:type="dxa"/>
            </w:tcMar>
          </w:tcPr>
          <w:p>
            <w:r>
              <w:t>Wirkungsbericht, klare Unsicherheiten, keine Schönfärbung</w:t>
            </w:r>
          </w:p>
        </w:tc>
      </w:tr>
    </w:tbl>
    <w:p/>
    <w:p>
      <w:pPr>
        <w:pStyle w:val="Heading1"/>
      </w:pPr>
      <w:r>
        <w:t>Daten- und Indikatorenarchitektur</w:t>
      </w:r>
    </w:p>
    <w:p>
      <w:r>
        <w:rPr>
          <w:rFonts w:ascii="Arial" w:hAnsi="Arial"/>
          <w:color w:val="4B4F56"/>
          <w:sz w:val="19"/>
        </w:rPr>
        <w:t>Die Datenarchitektur verbindet Finanzdaten mit WÖk-IDs, Scorecards, CSRD/ESRS, EU-Taxonomie, Lieferkettendaten, Produktpässen, Risikodaten und Versicherungsinformationen. Wichtig ist nicht die perfekte Vollständigkeit am ersten Tag, sondern eine nachvollziehbare Datenqualität und Versionierung.</w:t>
      </w:r>
    </w:p>
    <w:p>
      <w:r>
        <w:rPr>
          <w:rFonts w:ascii="Arial" w:hAnsi="Arial"/>
          <w:color w:val="4B4F56"/>
          <w:sz w:val="19"/>
        </w:rPr>
        <w:t>Jede wesentliche Investition sollte mindestens vier Dimensionen abbilden: finanzielle Tragfähigkeit, Netto-Wirkung, Transformationswirkung und Risiko-/Resilienzwirkung. Damit wird sichtbar, ob ein Projekt nur rentabel ist oder tatsächlich Zukunftsfähigkeit erzeugt.</w:t>
      </w:r>
    </w:p>
    <w:p>
      <w:r>
        <w:rPr>
          <w:rFonts w:ascii="Arial" w:hAnsi="Arial"/>
          <w:color w:val="4B4F56"/>
          <w:sz w:val="19"/>
        </w:rPr>
        <w:t>Die Wirkungsökonomie vermeidet dabei Scheinpräzision. Wo Daten fehlen, werden Unsicherheiten markiert. Fehlende Daten dürfen nicht automatisch belohnt werden. Für datenarme Bereiche braucht es konservative Annahmen, Branchenbenchmarks und Lernschleifen.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3270"/>
        <w:gridCol w:w="3270"/>
        <w:gridCol w:w="3270"/>
      </w:tblGrid>
      <w:tr>
        <w:trPr>
          <w:tblHeader w:val="true"/>
        </w:trPr>
        <w:tc>
          <w:tcPr>
            <w:tcW w:type="dxa" w:w="2268"/>
            <w:shd w:fill="0B1020"/>
            <w:tcMar>
              <w:top w:w="90" w:type="dxa"/>
              <w:start w:w="90" w:type="dxa"/>
              <w:bottom w:w="90" w:type="dxa"/>
              <w:end w:w="90" w:type="dxa"/>
            </w:tcMar>
          </w:tcPr>
          <w:p>
            <w:r>
              <w:rPr>
                <w:b/>
                <w:color w:val="FFFFFF"/>
              </w:rPr>
              <w:t>Datenebene</w:t>
            </w:r>
          </w:p>
        </w:tc>
        <w:tc>
          <w:tcPr>
            <w:tcW w:type="dxa" w:w="3402"/>
            <w:shd w:fill="0B1020"/>
            <w:tcMar>
              <w:top w:w="90" w:type="dxa"/>
              <w:start w:w="90" w:type="dxa"/>
              <w:bottom w:w="90" w:type="dxa"/>
              <w:end w:w="90" w:type="dxa"/>
            </w:tcMar>
          </w:tcPr>
          <w:p>
            <w:r>
              <w:rPr>
                <w:b/>
                <w:color w:val="FFFFFF"/>
              </w:rPr>
              <w:t>Beispiel</w:t>
            </w:r>
          </w:p>
        </w:tc>
        <w:tc>
          <w:tcPr>
            <w:tcW w:type="dxa" w:w="3402"/>
            <w:shd w:fill="0B1020"/>
            <w:tcMar>
              <w:top w:w="90" w:type="dxa"/>
              <w:start w:w="90" w:type="dxa"/>
              <w:bottom w:w="90" w:type="dxa"/>
              <w:end w:w="90" w:type="dxa"/>
            </w:tcMar>
          </w:tcPr>
          <w:p>
            <w:r>
              <w:rPr>
                <w:b/>
                <w:color w:val="FFFFFF"/>
              </w:rPr>
              <w:t>Finanzielle Nutzung</w:t>
            </w:r>
          </w:p>
        </w:tc>
      </w:tr>
      <w:tr>
        <w:tc>
          <w:tcPr>
            <w:tcW w:type="dxa" w:w="2268"/>
            <w:tcMar>
              <w:top w:w="80" w:type="dxa"/>
              <w:start w:w="90" w:type="dxa"/>
              <w:bottom w:w="80" w:type="dxa"/>
              <w:end w:w="90" w:type="dxa"/>
            </w:tcMar>
            <w:shd w:fill="FBF8F1"/>
          </w:tcPr>
          <w:p>
            <w:r>
              <w:rPr>
                <w:b/>
                <w:color w:val="0B1020"/>
              </w:rPr>
              <w:t>Finanzdaten</w:t>
            </w:r>
          </w:p>
        </w:tc>
        <w:tc>
          <w:tcPr>
            <w:tcW w:type="dxa" w:w="3402"/>
            <w:tcMar>
              <w:top w:w="80" w:type="dxa"/>
              <w:start w:w="90" w:type="dxa"/>
              <w:bottom w:w="80" w:type="dxa"/>
              <w:end w:w="90" w:type="dxa"/>
            </w:tcMar>
          </w:tcPr>
          <w:p>
            <w:r>
              <w:t>CapEx, Opex, Cashflow, Working Capital</w:t>
            </w:r>
          </w:p>
        </w:tc>
        <w:tc>
          <w:tcPr>
            <w:tcW w:type="dxa" w:w="3402"/>
            <w:tcMar>
              <w:top w:w="80" w:type="dxa"/>
              <w:start w:w="90" w:type="dxa"/>
              <w:bottom w:w="80" w:type="dxa"/>
              <w:end w:w="90" w:type="dxa"/>
            </w:tcMar>
          </w:tcPr>
          <w:p>
            <w:r>
              <w:t>Liquidität und Wirtschaftlichkeit</w:t>
            </w:r>
          </w:p>
        </w:tc>
      </w:tr>
      <w:tr>
        <w:tc>
          <w:tcPr>
            <w:tcW w:type="dxa" w:w="2268"/>
            <w:tcMar>
              <w:top w:w="80" w:type="dxa"/>
              <w:start w:w="90" w:type="dxa"/>
              <w:bottom w:w="80" w:type="dxa"/>
              <w:end w:w="90" w:type="dxa"/>
            </w:tcMar>
            <w:shd w:fill="FBF8F1"/>
          </w:tcPr>
          <w:p>
            <w:r>
              <w:rPr>
                <w:b/>
                <w:color w:val="0B1020"/>
              </w:rPr>
              <w:t>Wirkungsdaten</w:t>
            </w:r>
          </w:p>
        </w:tc>
        <w:tc>
          <w:tcPr>
            <w:tcW w:type="dxa" w:w="3402"/>
            <w:tcMar>
              <w:top w:w="80" w:type="dxa"/>
              <w:start w:w="90" w:type="dxa"/>
              <w:bottom w:w="80" w:type="dxa"/>
              <w:end w:w="90" w:type="dxa"/>
            </w:tcMar>
          </w:tcPr>
          <w:p>
            <w:r>
              <w:t>Emissionen, Wasser, Arbeit, Gesundheit, Governance</w:t>
            </w:r>
          </w:p>
        </w:tc>
        <w:tc>
          <w:tcPr>
            <w:tcW w:type="dxa" w:w="3402"/>
            <w:tcMar>
              <w:top w:w="80" w:type="dxa"/>
              <w:start w:w="90" w:type="dxa"/>
              <w:bottom w:w="80" w:type="dxa"/>
              <w:end w:w="90" w:type="dxa"/>
            </w:tcMar>
          </w:tcPr>
          <w:p>
            <w:r>
              <w:t>NWI, Scorecards, Steuer- und Risikoanschluss</w:t>
            </w:r>
          </w:p>
        </w:tc>
      </w:tr>
      <w:tr>
        <w:tc>
          <w:tcPr>
            <w:tcW w:type="dxa" w:w="2268"/>
            <w:tcMar>
              <w:top w:w="80" w:type="dxa"/>
              <w:start w:w="90" w:type="dxa"/>
              <w:bottom w:w="80" w:type="dxa"/>
              <w:end w:w="90" w:type="dxa"/>
            </w:tcMar>
            <w:shd w:fill="FBF8F1"/>
          </w:tcPr>
          <w:p>
            <w:r>
              <w:rPr>
                <w:b/>
                <w:color w:val="0B1020"/>
              </w:rPr>
              <w:t>Transformationsdaten</w:t>
            </w:r>
          </w:p>
        </w:tc>
        <w:tc>
          <w:tcPr>
            <w:tcW w:type="dxa" w:w="3402"/>
            <w:tcMar>
              <w:top w:w="80" w:type="dxa"/>
              <w:start w:w="90" w:type="dxa"/>
              <w:bottom w:w="80" w:type="dxa"/>
              <w:end w:w="90" w:type="dxa"/>
            </w:tcMar>
          </w:tcPr>
          <w:p>
            <w:r>
              <w:t>Pfadwechsel, Technologie, Lieferkettenumstellung</w:t>
            </w:r>
          </w:p>
        </w:tc>
        <w:tc>
          <w:tcPr>
            <w:tcW w:type="dxa" w:w="3402"/>
            <w:tcMar>
              <w:top w:w="80" w:type="dxa"/>
              <w:start w:w="90" w:type="dxa"/>
              <w:bottom w:w="80" w:type="dxa"/>
              <w:end w:w="90" w:type="dxa"/>
            </w:tcMar>
          </w:tcPr>
          <w:p>
            <w:r>
              <w:t>T-SROI und Investitionspriorisierung</w:t>
            </w:r>
          </w:p>
        </w:tc>
      </w:tr>
      <w:tr>
        <w:tc>
          <w:tcPr>
            <w:tcW w:type="dxa" w:w="2268"/>
            <w:tcMar>
              <w:top w:w="80" w:type="dxa"/>
              <w:start w:w="90" w:type="dxa"/>
              <w:bottom w:w="80" w:type="dxa"/>
              <w:end w:w="90" w:type="dxa"/>
            </w:tcMar>
            <w:shd w:fill="FBF8F1"/>
          </w:tcPr>
          <w:p>
            <w:r>
              <w:rPr>
                <w:b/>
                <w:color w:val="0B1020"/>
              </w:rPr>
              <w:t>Risikodaten</w:t>
            </w:r>
          </w:p>
        </w:tc>
        <w:tc>
          <w:tcPr>
            <w:tcW w:type="dxa" w:w="3402"/>
            <w:tcMar>
              <w:top w:w="80" w:type="dxa"/>
              <w:start w:w="90" w:type="dxa"/>
              <w:bottom w:w="80" w:type="dxa"/>
              <w:end w:w="90" w:type="dxa"/>
            </w:tcMar>
          </w:tcPr>
          <w:p>
            <w:r>
              <w:t>Klima, Regulierung, Stranding, Versicherung, Lieferanten</w:t>
            </w:r>
          </w:p>
        </w:tc>
        <w:tc>
          <w:tcPr>
            <w:tcW w:type="dxa" w:w="3402"/>
            <w:tcMar>
              <w:top w:w="80" w:type="dxa"/>
              <w:start w:w="90" w:type="dxa"/>
              <w:bottom w:w="80" w:type="dxa"/>
              <w:end w:w="90" w:type="dxa"/>
            </w:tcMar>
          </w:tcPr>
          <w:p>
            <w:r>
              <w:t>ERM, Kredit, Versicherung, Rückstellungen</w:t>
            </w:r>
          </w:p>
        </w:tc>
      </w:tr>
      <w:tr>
        <w:tc>
          <w:tcPr>
            <w:tcW w:type="dxa" w:w="2268"/>
            <w:tcMar>
              <w:top w:w="80" w:type="dxa"/>
              <w:start w:w="90" w:type="dxa"/>
              <w:bottom w:w="80" w:type="dxa"/>
              <w:end w:w="90" w:type="dxa"/>
            </w:tcMar>
            <w:shd w:fill="FBF8F1"/>
          </w:tcPr>
          <w:p>
            <w:r>
              <w:rPr>
                <w:b/>
                <w:color w:val="0B1020"/>
              </w:rPr>
              <w:t>Datenqualität</w:t>
            </w:r>
          </w:p>
        </w:tc>
        <w:tc>
          <w:tcPr>
            <w:tcW w:type="dxa" w:w="3402"/>
            <w:tcMar>
              <w:top w:w="80" w:type="dxa"/>
              <w:start w:w="90" w:type="dxa"/>
              <w:bottom w:w="80" w:type="dxa"/>
              <w:end w:w="90" w:type="dxa"/>
            </w:tcMar>
          </w:tcPr>
          <w:p>
            <w:r>
              <w:t>Audit, Herkunft, Unsicherheit, Aktualität</w:t>
            </w:r>
          </w:p>
        </w:tc>
        <w:tc>
          <w:tcPr>
            <w:tcW w:type="dxa" w:w="3402"/>
            <w:tcMar>
              <w:top w:w="80" w:type="dxa"/>
              <w:start w:w="90" w:type="dxa"/>
              <w:bottom w:w="80" w:type="dxa"/>
              <w:end w:w="90" w:type="dxa"/>
            </w:tcMar>
          </w:tcPr>
          <w:p>
            <w:r>
              <w:t>Assurance und Glaubwürdigkeit</w:t>
            </w:r>
          </w:p>
        </w:tc>
      </w:tr>
    </w:tbl>
    <w:p/>
    <w:p>
      <w:pPr>
        <w:pStyle w:val="Heading1"/>
      </w:pPr>
      <w:r>
        <w:t>CapEx und Opex nach Wirkung</w:t>
      </w:r>
    </w:p>
    <w:p>
      <w:r>
        <w:rPr>
          <w:rFonts w:ascii="Arial" w:hAnsi="Arial"/>
          <w:color w:val="4B4F56"/>
          <w:sz w:val="19"/>
        </w:rPr>
        <w:t>CapEx ist der zentrale Hebel, weil Investitionen Pfade festlegen. Ein Unternehmen entscheidet mit jeder Anlage, jedem Standort, jedem IT-System und jedem Produktdesign, welche Wirkung in Zukunft wahrscheinlicher wird. Wirkungsökonomisch braucht jeder größere CapEx-Antrag deshalb eine Wirkungsbegründung.</w:t>
      </w:r>
    </w:p>
    <w:p>
      <w:r>
        <w:rPr>
          <w:rFonts w:ascii="Arial" w:hAnsi="Arial"/>
          <w:color w:val="4B4F56"/>
          <w:sz w:val="19"/>
        </w:rPr>
        <w:t>Opex wird differenzierter gelesen. Einige laufende Kosten sind reale Wertpflege: Wartung, Arbeitsschutz, Weiterbildung, Prävention, Datenqualität, Reparatur, Kreislaufprozesse. Andere Opex sind Reparaturkosten falscher Wirkung: Beschwerden, Krisenkommunikation, Schadenregulierung, hohe Energieverluste, Fluktuation, Qualitätsmängel.</w:t>
      </w:r>
    </w:p>
    <w:p>
      <w:r>
        <w:rPr>
          <w:rFonts w:ascii="Arial" w:hAnsi="Arial"/>
          <w:color w:val="4B4F56"/>
          <w:sz w:val="19"/>
        </w:rPr>
        <w:t>Die wichtigste Verschiebung lautet: Nicht jede kurzfristige Kostenreduktion ist gut. Wenn sie Wartung, Sicherheit, Datenqualität, Personalentwicklung oder Lieferkettenstabilität schwächt, kann sie zukünftige Wirkungskosten erhöhen.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3270"/>
        <w:gridCol w:w="3270"/>
        <w:gridCol w:w="3270"/>
      </w:tblGrid>
      <w:tr>
        <w:trPr>
          <w:tblHeader w:val="true"/>
        </w:trPr>
        <w:tc>
          <w:tcPr>
            <w:tcW w:type="dxa" w:w="2268"/>
            <w:shd w:fill="0B1020"/>
            <w:tcMar>
              <w:top w:w="90" w:type="dxa"/>
              <w:start w:w="90" w:type="dxa"/>
              <w:bottom w:w="90" w:type="dxa"/>
              <w:end w:w="90" w:type="dxa"/>
            </w:tcMar>
          </w:tcPr>
          <w:p>
            <w:r>
              <w:rPr>
                <w:b/>
                <w:color w:val="FFFFFF"/>
              </w:rPr>
              <w:t>Finanzgröße</w:t>
            </w:r>
          </w:p>
        </w:tc>
        <w:tc>
          <w:tcPr>
            <w:tcW w:type="dxa" w:w="3402"/>
            <w:shd w:fill="0B1020"/>
            <w:tcMar>
              <w:top w:w="90" w:type="dxa"/>
              <w:start w:w="90" w:type="dxa"/>
              <w:bottom w:w="90" w:type="dxa"/>
              <w:end w:w="90" w:type="dxa"/>
            </w:tcMar>
          </w:tcPr>
          <w:p>
            <w:r>
              <w:rPr>
                <w:b/>
                <w:color w:val="FFFFFF"/>
              </w:rPr>
              <w:t>Alte Lesart</w:t>
            </w:r>
          </w:p>
        </w:tc>
        <w:tc>
          <w:tcPr>
            <w:tcW w:type="dxa" w:w="3402"/>
            <w:shd w:fill="0B1020"/>
            <w:tcMar>
              <w:top w:w="90" w:type="dxa"/>
              <w:start w:w="90" w:type="dxa"/>
              <w:bottom w:w="90" w:type="dxa"/>
              <w:end w:w="90" w:type="dxa"/>
            </w:tcMar>
          </w:tcPr>
          <w:p>
            <w:r>
              <w:rPr>
                <w:b/>
                <w:color w:val="FFFFFF"/>
              </w:rPr>
              <w:t>WÖk-Lesart</w:t>
            </w:r>
          </w:p>
        </w:tc>
      </w:tr>
      <w:tr>
        <w:tc>
          <w:tcPr>
            <w:tcW w:type="dxa" w:w="2268"/>
            <w:tcMar>
              <w:top w:w="80" w:type="dxa"/>
              <w:start w:w="90" w:type="dxa"/>
              <w:bottom w:w="80" w:type="dxa"/>
              <w:end w:w="90" w:type="dxa"/>
            </w:tcMar>
            <w:shd w:fill="FBF8F1"/>
          </w:tcPr>
          <w:p>
            <w:r>
              <w:rPr>
                <w:b/>
                <w:color w:val="0B1020"/>
              </w:rPr>
              <w:t>CapEx</w:t>
            </w:r>
          </w:p>
        </w:tc>
        <w:tc>
          <w:tcPr>
            <w:tcW w:type="dxa" w:w="3402"/>
            <w:tcMar>
              <w:top w:w="80" w:type="dxa"/>
              <w:start w:w="90" w:type="dxa"/>
              <w:bottom w:w="80" w:type="dxa"/>
              <w:end w:w="90" w:type="dxa"/>
            </w:tcMar>
          </w:tcPr>
          <w:p>
            <w:r>
              <w:t>Investition mit Renditeerwartung</w:t>
            </w:r>
          </w:p>
        </w:tc>
        <w:tc>
          <w:tcPr>
            <w:tcW w:type="dxa" w:w="3402"/>
            <w:tcMar>
              <w:top w:w="80" w:type="dxa"/>
              <w:start w:w="90" w:type="dxa"/>
              <w:bottom w:w="80" w:type="dxa"/>
              <w:end w:w="90" w:type="dxa"/>
            </w:tcMar>
          </w:tcPr>
          <w:p>
            <w:r>
              <w:t>Pfadentscheidung mit Wirkung und Stranding-Risiko</w:t>
            </w:r>
          </w:p>
        </w:tc>
      </w:tr>
      <w:tr>
        <w:tc>
          <w:tcPr>
            <w:tcW w:type="dxa" w:w="2268"/>
            <w:tcMar>
              <w:top w:w="80" w:type="dxa"/>
              <w:start w:w="90" w:type="dxa"/>
              <w:bottom w:w="80" w:type="dxa"/>
              <w:end w:w="90" w:type="dxa"/>
            </w:tcMar>
            <w:shd w:fill="FBF8F1"/>
          </w:tcPr>
          <w:p>
            <w:r>
              <w:rPr>
                <w:b/>
                <w:color w:val="0B1020"/>
              </w:rPr>
              <w:t>Opex</w:t>
            </w:r>
          </w:p>
        </w:tc>
        <w:tc>
          <w:tcPr>
            <w:tcW w:type="dxa" w:w="3402"/>
            <w:tcMar>
              <w:top w:w="80" w:type="dxa"/>
              <w:start w:w="90" w:type="dxa"/>
              <w:bottom w:w="80" w:type="dxa"/>
              <w:end w:w="90" w:type="dxa"/>
            </w:tcMar>
          </w:tcPr>
          <w:p>
            <w:r>
              <w:t>laufende Kosten</w:t>
            </w:r>
          </w:p>
        </w:tc>
        <w:tc>
          <w:tcPr>
            <w:tcW w:type="dxa" w:w="3402"/>
            <w:tcMar>
              <w:top w:w="80" w:type="dxa"/>
              <w:start w:w="90" w:type="dxa"/>
              <w:bottom w:w="80" w:type="dxa"/>
              <w:end w:w="90" w:type="dxa"/>
            </w:tcMar>
          </w:tcPr>
          <w:p>
            <w:r>
              <w:t>Systempflege, Reparaturkosten oder Blindleistung</w:t>
            </w:r>
          </w:p>
        </w:tc>
      </w:tr>
      <w:tr>
        <w:tc>
          <w:tcPr>
            <w:tcW w:type="dxa" w:w="2268"/>
            <w:tcMar>
              <w:top w:w="80" w:type="dxa"/>
              <w:start w:w="90" w:type="dxa"/>
              <w:bottom w:w="80" w:type="dxa"/>
              <w:end w:w="90" w:type="dxa"/>
            </w:tcMar>
            <w:shd w:fill="FBF8F1"/>
          </w:tcPr>
          <w:p>
            <w:r>
              <w:rPr>
                <w:b/>
                <w:color w:val="0B1020"/>
              </w:rPr>
              <w:t>Rückstellung</w:t>
            </w:r>
          </w:p>
        </w:tc>
        <w:tc>
          <w:tcPr>
            <w:tcW w:type="dxa" w:w="3402"/>
            <w:tcMar>
              <w:top w:w="80" w:type="dxa"/>
              <w:start w:w="90" w:type="dxa"/>
              <w:bottom w:w="80" w:type="dxa"/>
              <w:end w:w="90" w:type="dxa"/>
            </w:tcMar>
          </w:tcPr>
          <w:p>
            <w:r>
              <w:t>bekannter zukünftiger Aufwand</w:t>
            </w:r>
          </w:p>
        </w:tc>
        <w:tc>
          <w:tcPr>
            <w:tcW w:type="dxa" w:w="3402"/>
            <w:tcMar>
              <w:top w:w="80" w:type="dxa"/>
              <w:start w:w="90" w:type="dxa"/>
              <w:bottom w:w="80" w:type="dxa"/>
              <w:end w:w="90" w:type="dxa"/>
            </w:tcMar>
          </w:tcPr>
          <w:p>
            <w:r>
              <w:t>finanziell sichtbarer Teil früherer Wirkung</w:t>
            </w:r>
          </w:p>
        </w:tc>
      </w:tr>
      <w:tr>
        <w:tc>
          <w:tcPr>
            <w:tcW w:type="dxa" w:w="2268"/>
            <w:tcMar>
              <w:top w:w="80" w:type="dxa"/>
              <w:start w:w="90" w:type="dxa"/>
              <w:bottom w:w="80" w:type="dxa"/>
              <w:end w:w="90" w:type="dxa"/>
            </w:tcMar>
            <w:shd w:fill="FBF8F1"/>
          </w:tcPr>
          <w:p>
            <w:r>
              <w:rPr>
                <w:b/>
                <w:color w:val="0B1020"/>
              </w:rPr>
              <w:t>Abschreibung</w:t>
            </w:r>
          </w:p>
        </w:tc>
        <w:tc>
          <w:tcPr>
            <w:tcW w:type="dxa" w:w="3402"/>
            <w:tcMar>
              <w:top w:w="80" w:type="dxa"/>
              <w:start w:w="90" w:type="dxa"/>
              <w:bottom w:w="80" w:type="dxa"/>
              <w:end w:w="90" w:type="dxa"/>
            </w:tcMar>
          </w:tcPr>
          <w:p>
            <w:r>
              <w:t>Wertverzehr eines Assets</w:t>
            </w:r>
          </w:p>
        </w:tc>
        <w:tc>
          <w:tcPr>
            <w:tcW w:type="dxa" w:w="3402"/>
            <w:tcMar>
              <w:top w:w="80" w:type="dxa"/>
              <w:start w:w="90" w:type="dxa"/>
              <w:bottom w:w="80" w:type="dxa"/>
              <w:end w:w="90" w:type="dxa"/>
            </w:tcMar>
          </w:tcPr>
          <w:p>
            <w:r>
              <w:t>auch möglicher Indikator für Altpfad und Stranding</w:t>
            </w:r>
          </w:p>
        </w:tc>
      </w:tr>
      <w:tr>
        <w:tc>
          <w:tcPr>
            <w:tcW w:type="dxa" w:w="2268"/>
            <w:tcMar>
              <w:top w:w="80" w:type="dxa"/>
              <w:start w:w="90" w:type="dxa"/>
              <w:bottom w:w="80" w:type="dxa"/>
              <w:end w:w="90" w:type="dxa"/>
            </w:tcMar>
            <w:shd w:fill="FBF8F1"/>
          </w:tcPr>
          <w:p>
            <w:r>
              <w:rPr>
                <w:b/>
                <w:color w:val="0B1020"/>
              </w:rPr>
              <w:t>Working Capital</w:t>
            </w:r>
          </w:p>
        </w:tc>
        <w:tc>
          <w:tcPr>
            <w:tcW w:type="dxa" w:w="3402"/>
            <w:tcMar>
              <w:top w:w="80" w:type="dxa"/>
              <w:start w:w="90" w:type="dxa"/>
              <w:bottom w:w="80" w:type="dxa"/>
              <w:end w:w="90" w:type="dxa"/>
            </w:tcMar>
          </w:tcPr>
          <w:p>
            <w:r>
              <w:t>Liquiditätsbindung</w:t>
            </w:r>
          </w:p>
        </w:tc>
        <w:tc>
          <w:tcPr>
            <w:tcW w:type="dxa" w:w="3402"/>
            <w:tcMar>
              <w:top w:w="80" w:type="dxa"/>
              <w:start w:w="90" w:type="dxa"/>
              <w:bottom w:w="80" w:type="dxa"/>
              <w:end w:w="90" w:type="dxa"/>
            </w:tcMar>
          </w:tcPr>
          <w:p>
            <w:r>
              <w:t>Resilienz, Lager, Lieferketten- und Verfügbarkeitseffekt</w:t>
            </w:r>
          </w:p>
        </w:tc>
      </w:tr>
    </w:tbl>
    <w:p/>
    <w:p>
      <w:pPr>
        <w:pStyle w:val="Heading1"/>
      </w:pPr>
      <w:r>
        <w:t>Finanzierung und Kapitalzugang</w:t>
      </w:r>
    </w:p>
    <w:p>
      <w:r>
        <w:rPr>
          <w:rFonts w:ascii="Arial" w:hAnsi="Arial"/>
          <w:color w:val="4B4F56"/>
          <w:sz w:val="19"/>
        </w:rPr>
        <w:t>Kapitalzugang verändert sich bereits heute. Banken, Versicherungen und Investor:innen müssen Nachhaltigkeits- und ESG-Risiken stärker verstehen. Die EBA-Leitlinien zu ESG-Risiken verlangen von Instituten Identifikation, Messung, Management und Monitoring von ESG-Risiken. Unternehmen spüren das indirekt über Kreditgespräche, Covenants, Zinsmargen, Datenabfragen und Transformationspläne.</w:t>
      </w:r>
    </w:p>
    <w:p>
      <w:r>
        <w:rPr>
          <w:rFonts w:ascii="Arial" w:hAnsi="Arial"/>
          <w:color w:val="4B4F56"/>
          <w:sz w:val="19"/>
        </w:rPr>
        <w:t>Die Wirkungsökonomie ordnet diese Entwicklung: Nicht jede ESG-Abfrage ist Bürokratie, wenn sie Risikowahrheit erzeugt. Bürokratisch wird sie, wenn jede Bank, jeder Kunde und jede Versicherung andere Daten verlangt. Deshalb braucht es standardisierte Wirkungsprofile, die mehrfach verwendbar sind.</w:t>
      </w:r>
    </w:p>
    <w:p>
      <w:r>
        <w:rPr>
          <w:rFonts w:ascii="Arial" w:hAnsi="Arial"/>
          <w:color w:val="4B4F56"/>
          <w:sz w:val="19"/>
        </w:rPr>
        <w:t>Für Unternehmen heißt das: Ein gutes Wirkungsprofil kann Finanzierungskosten senken, Versicherbarkeit verbessern, Talente binden und Kund:innenvertrauen stärken. Ein schlechtes oder unklar dokumentiertes Wirkungsprofil kann Kapital verteuern oder Zugang begrenzen.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3402"/>
            <w:shd w:fill="0B1020"/>
            <w:tcMar>
              <w:top w:w="90" w:type="dxa"/>
              <w:start w:w="90" w:type="dxa"/>
              <w:bottom w:w="90" w:type="dxa"/>
              <w:end w:w="90" w:type="dxa"/>
            </w:tcMar>
          </w:tcPr>
          <w:p>
            <w:r>
              <w:rPr>
                <w:b/>
                <w:color w:val="FFFFFF"/>
              </w:rPr>
              <w:t>Finanzierungsfrage</w:t>
            </w:r>
          </w:p>
        </w:tc>
        <w:tc>
          <w:tcPr>
            <w:tcW w:type="dxa" w:w="5669"/>
            <w:shd w:fill="0B1020"/>
            <w:tcMar>
              <w:top w:w="90" w:type="dxa"/>
              <w:start w:w="90" w:type="dxa"/>
              <w:bottom w:w="90" w:type="dxa"/>
              <w:end w:w="90" w:type="dxa"/>
            </w:tcMar>
          </w:tcPr>
          <w:p>
            <w:r>
              <w:rPr>
                <w:b/>
                <w:color w:val="FFFFFF"/>
              </w:rPr>
              <w:t>Wirkungsökonomische Antwort</w:t>
            </w:r>
          </w:p>
        </w:tc>
      </w:tr>
      <w:tr>
        <w:tc>
          <w:tcPr>
            <w:tcW w:type="dxa" w:w="3402"/>
            <w:tcMar>
              <w:top w:w="80" w:type="dxa"/>
              <w:start w:w="90" w:type="dxa"/>
              <w:bottom w:w="80" w:type="dxa"/>
              <w:end w:w="90" w:type="dxa"/>
            </w:tcMar>
            <w:shd w:fill="FBF8F1"/>
          </w:tcPr>
          <w:p>
            <w:r>
              <w:rPr>
                <w:b/>
                <w:color w:val="0B1020"/>
              </w:rPr>
              <w:t>Wie wirkt das Projekt auf Kreditrisiko?</w:t>
            </w:r>
          </w:p>
        </w:tc>
        <w:tc>
          <w:tcPr>
            <w:tcW w:type="dxa" w:w="5669"/>
            <w:tcMar>
              <w:top w:w="80" w:type="dxa"/>
              <w:start w:w="90" w:type="dxa"/>
              <w:bottom w:w="80" w:type="dxa"/>
              <w:end w:w="90" w:type="dxa"/>
            </w:tcMar>
          </w:tcPr>
          <w:p>
            <w:r>
              <w:t>Wirkungsrisiko, Resilienz, Transformationspfad und Datenqualität offenlegen</w:t>
            </w:r>
          </w:p>
        </w:tc>
      </w:tr>
      <w:tr>
        <w:tc>
          <w:tcPr>
            <w:tcW w:type="dxa" w:w="3402"/>
            <w:tcMar>
              <w:top w:w="80" w:type="dxa"/>
              <w:start w:w="90" w:type="dxa"/>
              <w:bottom w:w="80" w:type="dxa"/>
              <w:end w:w="90" w:type="dxa"/>
            </w:tcMar>
            <w:shd w:fill="FBF8F1"/>
          </w:tcPr>
          <w:p>
            <w:r>
              <w:rPr>
                <w:b/>
                <w:color w:val="0B1020"/>
              </w:rPr>
              <w:t>Welche Sicherheiten gibt es?</w:t>
            </w:r>
          </w:p>
        </w:tc>
        <w:tc>
          <w:tcPr>
            <w:tcW w:type="dxa" w:w="5669"/>
            <w:tcMar>
              <w:top w:w="80" w:type="dxa"/>
              <w:start w:w="90" w:type="dxa"/>
              <w:bottom w:w="80" w:type="dxa"/>
              <w:end w:w="90" w:type="dxa"/>
            </w:tcMar>
          </w:tcPr>
          <w:p>
            <w:r>
              <w:t>Physische Assets plus Zukunftsfähigkeit und Stranding-Risiko bewerten</w:t>
            </w:r>
          </w:p>
        </w:tc>
      </w:tr>
      <w:tr>
        <w:tc>
          <w:tcPr>
            <w:tcW w:type="dxa" w:w="3402"/>
            <w:tcMar>
              <w:top w:w="80" w:type="dxa"/>
              <w:start w:w="90" w:type="dxa"/>
              <w:bottom w:w="80" w:type="dxa"/>
              <w:end w:w="90" w:type="dxa"/>
            </w:tcMar>
            <w:shd w:fill="FBF8F1"/>
          </w:tcPr>
          <w:p>
            <w:r>
              <w:rPr>
                <w:b/>
                <w:color w:val="0B1020"/>
              </w:rPr>
              <w:t>Wie wird Transformation finanziert?</w:t>
            </w:r>
          </w:p>
        </w:tc>
        <w:tc>
          <w:tcPr>
            <w:tcW w:type="dxa" w:w="5669"/>
            <w:tcMar>
              <w:top w:w="80" w:type="dxa"/>
              <w:start w:w="90" w:type="dxa"/>
              <w:bottom w:w="80" w:type="dxa"/>
              <w:end w:w="90" w:type="dxa"/>
            </w:tcMar>
          </w:tcPr>
          <w:p>
            <w:r>
              <w:t>Wirkungskredit, Fördermittel, Wirkungsfonds, Übergangs-CapEx kombinieren</w:t>
            </w:r>
          </w:p>
        </w:tc>
      </w:tr>
      <w:tr>
        <w:tc>
          <w:tcPr>
            <w:tcW w:type="dxa" w:w="3402"/>
            <w:tcMar>
              <w:top w:w="80" w:type="dxa"/>
              <w:start w:w="90" w:type="dxa"/>
              <w:bottom w:w="80" w:type="dxa"/>
              <w:end w:w="90" w:type="dxa"/>
            </w:tcMar>
            <w:shd w:fill="FBF8F1"/>
          </w:tcPr>
          <w:p>
            <w:r>
              <w:rPr>
                <w:b/>
                <w:color w:val="0B1020"/>
              </w:rPr>
              <w:t>Wie wird KMU-Belastung reduziert?</w:t>
            </w:r>
          </w:p>
        </w:tc>
        <w:tc>
          <w:tcPr>
            <w:tcW w:type="dxa" w:w="5669"/>
            <w:tcMar>
              <w:top w:w="80" w:type="dxa"/>
              <w:start w:w="90" w:type="dxa"/>
              <w:bottom w:w="80" w:type="dxa"/>
              <w:end w:w="90" w:type="dxa"/>
            </w:tcMar>
          </w:tcPr>
          <w:p>
            <w:r>
              <w:t>Standardprofile, Branchenbenchmarks und gemeinsame Datenräume nutzen</w:t>
            </w:r>
          </w:p>
        </w:tc>
      </w:tr>
    </w:tbl>
    <w:p/>
    <w:p>
      <w:pPr>
        <w:pStyle w:val="Heading1"/>
      </w:pPr>
      <w:r>
        <w:t>Finanzkommunikation: Von ESG-Bericht zu Wirkungsdialog</w:t>
      </w:r>
    </w:p>
    <w:p>
      <w:r>
        <w:rPr>
          <w:rFonts w:ascii="Arial" w:hAnsi="Arial"/>
          <w:color w:val="4B4F56"/>
          <w:sz w:val="19"/>
        </w:rPr>
        <w:t>Finanzkommunikation nach Wirkung unterscheidet sich von werblicher Nachhaltigkeitskommunikation. Sie richtet sich an Kapitalgeber, Banken, Versicherungen, Beschäftigte, Kund:innen und Öffentlichkeit. Sie muss verständlich, prüfbar und vollständig genug sein, um Vertrauen zu erzeugen, ohne Scheinpräzision zu erzeugen.</w:t>
      </w:r>
    </w:p>
    <w:p>
      <w:r>
        <w:rPr>
          <w:rFonts w:ascii="Arial" w:hAnsi="Arial"/>
          <w:color w:val="4B4F56"/>
          <w:sz w:val="19"/>
        </w:rPr>
        <w:t>Die zentrale Struktur lautet: Was ist die Ausgangslage? Welche Wirkung erzeugt das Geschäftsmodell? Welche negativen Wirkungen bestehen? Welche Transformationsmaßnahmen sind finanziert? Welche Datenqualität liegt vor? Welche Zielkonflikte bleiben politisch oder unternehmerisch offen?</w:t>
      </w:r>
    </w:p>
    <w:p>
      <w:r>
        <w:rPr>
          <w:rFonts w:ascii="Arial" w:hAnsi="Arial"/>
          <w:color w:val="4B4F56"/>
          <w:sz w:val="19"/>
        </w:rPr>
        <w:t>Eine glaubwürdige Finanzkommunikation benennt auch Grenzen. Sie zeigt nicht nur Fortschritt, sondern auch rote Linien, unsichere Daten, Zielkonflikte, Altlasten, Übergangsrisiken und Korrekturmechanismen.</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Kommunikationsbaustein</w:t>
            </w:r>
          </w:p>
        </w:tc>
        <w:tc>
          <w:tcPr>
            <w:tcW w:type="dxa" w:w="6236"/>
            <w:shd w:fill="0B1020"/>
            <w:tcMar>
              <w:top w:w="90" w:type="dxa"/>
              <w:start w:w="90" w:type="dxa"/>
              <w:bottom w:w="90" w:type="dxa"/>
              <w:end w:w="90" w:type="dxa"/>
            </w:tcMar>
          </w:tcPr>
          <w:p>
            <w:r>
              <w:rPr>
                <w:b/>
                <w:color w:val="FFFFFF"/>
              </w:rPr>
              <w:t>Inhalt</w:t>
            </w:r>
          </w:p>
        </w:tc>
      </w:tr>
      <w:tr>
        <w:tc>
          <w:tcPr>
            <w:tcW w:type="dxa" w:w="2835"/>
            <w:tcMar>
              <w:top w:w="80" w:type="dxa"/>
              <w:start w:w="90" w:type="dxa"/>
              <w:bottom w:w="80" w:type="dxa"/>
              <w:end w:w="90" w:type="dxa"/>
            </w:tcMar>
            <w:shd w:fill="FBF8F1"/>
          </w:tcPr>
          <w:p>
            <w:r>
              <w:rPr>
                <w:b/>
                <w:color w:val="0B1020"/>
              </w:rPr>
              <w:t>Wirkungsprofil</w:t>
            </w:r>
          </w:p>
        </w:tc>
        <w:tc>
          <w:tcPr>
            <w:tcW w:type="dxa" w:w="6236"/>
            <w:tcMar>
              <w:top w:w="80" w:type="dxa"/>
              <w:start w:w="90" w:type="dxa"/>
              <w:bottom w:w="80" w:type="dxa"/>
              <w:end w:w="90" w:type="dxa"/>
            </w:tcMar>
          </w:tcPr>
          <w:p>
            <w:r>
              <w:t>NWI, zentrale Scorecards, WÖk-ID-Familien, Datenqualität</w:t>
            </w:r>
          </w:p>
        </w:tc>
      </w:tr>
      <w:tr>
        <w:tc>
          <w:tcPr>
            <w:tcW w:type="dxa" w:w="2835"/>
            <w:tcMar>
              <w:top w:w="80" w:type="dxa"/>
              <w:start w:w="90" w:type="dxa"/>
              <w:bottom w:w="80" w:type="dxa"/>
              <w:end w:w="90" w:type="dxa"/>
            </w:tcMar>
            <w:shd w:fill="FBF8F1"/>
          </w:tcPr>
          <w:p>
            <w:r>
              <w:rPr>
                <w:b/>
                <w:color w:val="0B1020"/>
              </w:rPr>
              <w:t>Finanzierungslogik</w:t>
            </w:r>
          </w:p>
        </w:tc>
        <w:tc>
          <w:tcPr>
            <w:tcW w:type="dxa" w:w="6236"/>
            <w:tcMar>
              <w:top w:w="80" w:type="dxa"/>
              <w:start w:w="90" w:type="dxa"/>
              <w:bottom w:w="80" w:type="dxa"/>
              <w:end w:w="90" w:type="dxa"/>
            </w:tcMar>
          </w:tcPr>
          <w:p>
            <w:r>
              <w:t>CapEx/Opex, Transformationsinvestitionen, Wirkungsfonds, Kredite</w:t>
            </w:r>
          </w:p>
        </w:tc>
      </w:tr>
      <w:tr>
        <w:tc>
          <w:tcPr>
            <w:tcW w:type="dxa" w:w="2835"/>
            <w:tcMar>
              <w:top w:w="80" w:type="dxa"/>
              <w:start w:w="90" w:type="dxa"/>
              <w:bottom w:w="80" w:type="dxa"/>
              <w:end w:w="90" w:type="dxa"/>
            </w:tcMar>
            <w:shd w:fill="FBF8F1"/>
          </w:tcPr>
          <w:p>
            <w:r>
              <w:rPr>
                <w:b/>
                <w:color w:val="0B1020"/>
              </w:rPr>
              <w:t>Risiken</w:t>
            </w:r>
          </w:p>
        </w:tc>
        <w:tc>
          <w:tcPr>
            <w:tcW w:type="dxa" w:w="6236"/>
            <w:tcMar>
              <w:top w:w="80" w:type="dxa"/>
              <w:start w:w="90" w:type="dxa"/>
              <w:bottom w:w="80" w:type="dxa"/>
              <w:end w:w="90" w:type="dxa"/>
            </w:tcMar>
          </w:tcPr>
          <w:p>
            <w:r>
              <w:t>Stranded Assets, regulatorische Risiken, Lieferketten, Versicherbarkeit</w:t>
            </w:r>
          </w:p>
        </w:tc>
      </w:tr>
      <w:tr>
        <w:tc>
          <w:tcPr>
            <w:tcW w:type="dxa" w:w="2835"/>
            <w:tcMar>
              <w:top w:w="80" w:type="dxa"/>
              <w:start w:w="90" w:type="dxa"/>
              <w:bottom w:w="80" w:type="dxa"/>
              <w:end w:w="90" w:type="dxa"/>
            </w:tcMar>
            <w:shd w:fill="FBF8F1"/>
          </w:tcPr>
          <w:p>
            <w:r>
              <w:rPr>
                <w:b/>
                <w:color w:val="0B1020"/>
              </w:rPr>
              <w:t>Korrektur</w:t>
            </w:r>
          </w:p>
        </w:tc>
        <w:tc>
          <w:tcPr>
            <w:tcW w:type="dxa" w:w="6236"/>
            <w:tcMar>
              <w:top w:w="80" w:type="dxa"/>
              <w:start w:w="90" w:type="dxa"/>
              <w:bottom w:w="80" w:type="dxa"/>
              <w:end w:w="90" w:type="dxa"/>
            </w:tcMar>
          </w:tcPr>
          <w:p>
            <w:r>
              <w:t>Maßnahmen, Revisionszyklen, Wirkungscontrolling, Assurance</w:t>
            </w:r>
          </w:p>
        </w:tc>
      </w:tr>
      <w:tr>
        <w:tc>
          <w:tcPr>
            <w:tcW w:type="dxa" w:w="2835"/>
            <w:tcMar>
              <w:top w:w="80" w:type="dxa"/>
              <w:start w:w="90" w:type="dxa"/>
              <w:bottom w:w="80" w:type="dxa"/>
              <w:end w:w="90" w:type="dxa"/>
            </w:tcMar>
            <w:shd w:fill="FBF8F1"/>
          </w:tcPr>
          <w:p>
            <w:r>
              <w:rPr>
                <w:b/>
                <w:color w:val="0B1020"/>
              </w:rPr>
              <w:t>Grenzen</w:t>
            </w:r>
          </w:p>
        </w:tc>
        <w:tc>
          <w:tcPr>
            <w:tcW w:type="dxa" w:w="6236"/>
            <w:tcMar>
              <w:top w:w="80" w:type="dxa"/>
              <w:start w:w="90" w:type="dxa"/>
              <w:bottom w:w="80" w:type="dxa"/>
              <w:end w:w="90" w:type="dxa"/>
            </w:tcMar>
          </w:tcPr>
          <w:p>
            <w:r>
              <w:t>Unsicherheit, nicht kompensierbare Negativwirkungen, offene Zielkonflikte</w:t>
            </w:r>
          </w:p>
        </w:tc>
      </w:tr>
    </w:tbl>
    <w:p/>
    <w:p>
      <w:pPr>
        <w:pStyle w:val="Heading1"/>
      </w:pPr>
      <w:r>
        <w:t>Steuern, Fonds und Rückkopplung</w:t>
      </w:r>
    </w:p>
    <w:p>
      <w:r>
        <w:rPr>
          <w:rFonts w:ascii="Arial" w:hAnsi="Arial"/>
          <w:color w:val="4B4F56"/>
          <w:sz w:val="19"/>
        </w:rPr>
        <w:t>Bilanz und Finanzierung sind mit der Steuerarchitektur der Wirkungsökonomie verbunden. WUStG, WEstG, mögliche Wirkungskörperschaftsteuer, Wirkungsgewerbesteuer und Kapitalwirkungslogik müssen nicht in jedem Unternehmen sofort vollständig gelten. Aber sie bilden die spätere Rückkopplungsarchitektur: positive Wirkung entlastet, negative Wirkung belastet, Transformation wird finanzierbar.</w:t>
      </w:r>
    </w:p>
    <w:p>
      <w:r>
        <w:rPr>
          <w:rFonts w:ascii="Arial" w:hAnsi="Arial"/>
          <w:color w:val="4B4F56"/>
          <w:sz w:val="19"/>
        </w:rPr>
        <w:t>Wirkungsfonds spielen eine zentrale Rolle, weil nicht jede Transformation kurzfristig aus laufendem Cashflow bezahlt werden kann. Unternehmen brauchen Übergangsfinanzierung, Garantien, Zuschüsse oder zinsverbilligte Kredite, wenn die Wirkung hoch, aber der kurzfristige Kapitalrückfluss unsicher ist.</w:t>
      </w:r>
    </w:p>
    <w:p>
      <w:r>
        <w:rPr>
          <w:rFonts w:ascii="Arial" w:hAnsi="Arial"/>
          <w:color w:val="4B4F56"/>
          <w:sz w:val="19"/>
        </w:rPr>
        <w:t>Die politische Aufgabe besteht darin, diese Instrumente so zu gestalten, dass sie haushaltsneutral, missbrauchssicher, KMU-tauglich und demokratisch kontrollierbar sind.</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Instrument</w:t>
            </w:r>
          </w:p>
        </w:tc>
        <w:tc>
          <w:tcPr>
            <w:tcW w:type="dxa" w:w="6236"/>
            <w:shd w:fill="0B1020"/>
            <w:tcMar>
              <w:top w:w="90" w:type="dxa"/>
              <w:start w:w="90" w:type="dxa"/>
              <w:bottom w:w="90" w:type="dxa"/>
              <w:end w:w="90" w:type="dxa"/>
            </w:tcMar>
          </w:tcPr>
          <w:p>
            <w:r>
              <w:rPr>
                <w:b/>
                <w:color w:val="FFFFFF"/>
              </w:rPr>
              <w:t>Unternehmensbezug</w:t>
            </w:r>
          </w:p>
        </w:tc>
      </w:tr>
      <w:tr>
        <w:tc>
          <w:tcPr>
            <w:tcW w:type="dxa" w:w="2835"/>
            <w:tcMar>
              <w:top w:w="80" w:type="dxa"/>
              <w:start w:w="90" w:type="dxa"/>
              <w:bottom w:w="80" w:type="dxa"/>
              <w:end w:w="90" w:type="dxa"/>
            </w:tcMar>
            <w:shd w:fill="FBF8F1"/>
          </w:tcPr>
          <w:p>
            <w:r>
              <w:rPr>
                <w:b/>
                <w:color w:val="0B1020"/>
              </w:rPr>
              <w:t>WUStG / Produktwirkungssteuer</w:t>
            </w:r>
          </w:p>
        </w:tc>
        <w:tc>
          <w:tcPr>
            <w:tcW w:type="dxa" w:w="6236"/>
            <w:tcMar>
              <w:top w:w="80" w:type="dxa"/>
              <w:start w:w="90" w:type="dxa"/>
              <w:bottom w:w="80" w:type="dxa"/>
              <w:end w:w="90" w:type="dxa"/>
            </w:tcMar>
          </w:tcPr>
          <w:p>
            <w:r>
              <w:t>Preis- und Produktwirkung, Vorsteuerlogik, Lieferkettenanreiz</w:t>
            </w:r>
          </w:p>
        </w:tc>
      </w:tr>
      <w:tr>
        <w:tc>
          <w:tcPr>
            <w:tcW w:type="dxa" w:w="2835"/>
            <w:tcMar>
              <w:top w:w="80" w:type="dxa"/>
              <w:start w:w="90" w:type="dxa"/>
              <w:bottom w:w="80" w:type="dxa"/>
              <w:end w:w="90" w:type="dxa"/>
            </w:tcMar>
            <w:shd w:fill="FBF8F1"/>
          </w:tcPr>
          <w:p>
            <w:r>
              <w:rPr>
                <w:b/>
                <w:color w:val="0B1020"/>
              </w:rPr>
              <w:t>WEstG</w:t>
            </w:r>
          </w:p>
        </w:tc>
        <w:tc>
          <w:tcPr>
            <w:tcW w:type="dxa" w:w="6236"/>
            <w:tcMar>
              <w:top w:w="80" w:type="dxa"/>
              <w:start w:w="90" w:type="dxa"/>
              <w:bottom w:w="80" w:type="dxa"/>
              <w:end w:w="90" w:type="dxa"/>
            </w:tcMar>
          </w:tcPr>
          <w:p>
            <w:r>
              <w:t>Einkommen, Beschäftigte, Tätigkeitswirkung, Führung und Arbeitswirkung</w:t>
            </w:r>
          </w:p>
        </w:tc>
      </w:tr>
      <w:tr>
        <w:tc>
          <w:tcPr>
            <w:tcW w:type="dxa" w:w="2835"/>
            <w:tcMar>
              <w:top w:w="80" w:type="dxa"/>
              <w:start w:w="90" w:type="dxa"/>
              <w:bottom w:w="80" w:type="dxa"/>
              <w:end w:w="90" w:type="dxa"/>
            </w:tcMar>
            <w:shd w:fill="FBF8F1"/>
          </w:tcPr>
          <w:p>
            <w:r>
              <w:rPr>
                <w:b/>
                <w:color w:val="0B1020"/>
              </w:rPr>
              <w:t>Wirkungskörperschaftsteuer</w:t>
            </w:r>
          </w:p>
        </w:tc>
        <w:tc>
          <w:tcPr>
            <w:tcW w:type="dxa" w:w="6236"/>
            <w:tcMar>
              <w:top w:w="80" w:type="dxa"/>
              <w:start w:w="90" w:type="dxa"/>
              <w:bottom w:w="80" w:type="dxa"/>
              <w:end w:w="90" w:type="dxa"/>
            </w:tcMar>
          </w:tcPr>
          <w:p>
            <w:r>
              <w:t>Unternehmensgewinn im Kontext der Gesamtwirkung</w:t>
            </w:r>
          </w:p>
        </w:tc>
      </w:tr>
      <w:tr>
        <w:tc>
          <w:tcPr>
            <w:tcW w:type="dxa" w:w="2835"/>
            <w:tcMar>
              <w:top w:w="80" w:type="dxa"/>
              <w:start w:w="90" w:type="dxa"/>
              <w:bottom w:w="80" w:type="dxa"/>
              <w:end w:w="90" w:type="dxa"/>
            </w:tcMar>
            <w:shd w:fill="FBF8F1"/>
          </w:tcPr>
          <w:p>
            <w:r>
              <w:rPr>
                <w:b/>
                <w:color w:val="0B1020"/>
              </w:rPr>
              <w:t>Wirkungsgewerbesteuer</w:t>
            </w:r>
          </w:p>
        </w:tc>
        <w:tc>
          <w:tcPr>
            <w:tcW w:type="dxa" w:w="6236"/>
            <w:tcMar>
              <w:top w:w="80" w:type="dxa"/>
              <w:start w:w="90" w:type="dxa"/>
              <w:bottom w:w="80" w:type="dxa"/>
              <w:end w:w="90" w:type="dxa"/>
            </w:tcMar>
          </w:tcPr>
          <w:p>
            <w:r>
              <w:t>kommunale Wirkung, Standort, Infrastruktur, soziale und ökologische Effekte</w:t>
            </w:r>
          </w:p>
        </w:tc>
      </w:tr>
      <w:tr>
        <w:tc>
          <w:tcPr>
            <w:tcW w:type="dxa" w:w="2835"/>
            <w:tcMar>
              <w:top w:w="80" w:type="dxa"/>
              <w:start w:w="90" w:type="dxa"/>
              <w:bottom w:w="80" w:type="dxa"/>
              <w:end w:w="90" w:type="dxa"/>
            </w:tcMar>
            <w:shd w:fill="FBF8F1"/>
          </w:tcPr>
          <w:p>
            <w:r>
              <w:rPr>
                <w:b/>
                <w:color w:val="0B1020"/>
              </w:rPr>
              <w:t>Wirkungsfonds</w:t>
            </w:r>
          </w:p>
        </w:tc>
        <w:tc>
          <w:tcPr>
            <w:tcW w:type="dxa" w:w="6236"/>
            <w:tcMar>
              <w:top w:w="80" w:type="dxa"/>
              <w:start w:w="90" w:type="dxa"/>
              <w:bottom w:w="80" w:type="dxa"/>
              <w:end w:w="90" w:type="dxa"/>
            </w:tcMar>
          </w:tcPr>
          <w:p>
            <w:r>
              <w:t>Transformations-CapEx, Innovation, Resilienz und Übergangsschutz</w:t>
            </w:r>
          </w:p>
        </w:tc>
      </w:tr>
    </w:tbl>
    <w:p/>
    <w:p>
      <w:pPr>
        <w:pStyle w:val="Heading1"/>
      </w:pPr>
      <w:r>
        <w:t>Praxisbeispiele und Szenarien</w:t>
      </w:r>
    </w:p>
    <w:p>
      <w:r>
        <w:rPr>
          <w:rFonts w:ascii="Arial" w:hAnsi="Arial"/>
          <w:color w:val="4B4F56"/>
          <w:sz w:val="19"/>
        </w:rPr>
        <w:t>Szenario 1: Ein Unternehmen ersetzt eine fossile Anlage durch eine emissionsärmere, aber zunächst teurere Technologie. Klassisch erscheint der ROI schwächer. Wirkungsökonomisch werden CO2-Risiko, Energiepreisrisiko, Versicherung, Regulatorik, Kundenzugang und Finanzierungsfähigkeit einbezogen. Der T-SROI kann den Pfadwechsel als transformativ bewerten.</w:t>
      </w:r>
    </w:p>
    <w:p>
      <w:r>
        <w:rPr>
          <w:rFonts w:ascii="Arial" w:hAnsi="Arial"/>
          <w:color w:val="4B4F56"/>
          <w:sz w:val="19"/>
        </w:rPr>
        <w:t>Szenario 2: Ein Unternehmen kürzt Wartung und Weiterbildung. Kurzfristig sinken Opex. Mittelfristig steigen Ausfälle, Fluktuation, Qualitätsmängel und Sicherheitsrisiken. Die Wirkungsbilanz macht sichtbar, dass die Einsparung Blindleistung erzeugt.</w:t>
      </w:r>
    </w:p>
    <w:p>
      <w:r>
        <w:rPr>
          <w:rFonts w:ascii="Arial" w:hAnsi="Arial"/>
          <w:color w:val="4B4F56"/>
          <w:sz w:val="19"/>
        </w:rPr>
        <w:t>Szenario 3: Ein KMU liefert an einen Konzern. Es muss Wirkungsdaten liefern, hat aber keine eigene CSRD-Abteilung. Ein standardisiertes KMU-Wirkungsprofil hilft, Bank, Kunde und Versicherung mit denselben Kerninformationen zu bedienen.</w:t>
      </w:r>
    </w:p>
    <w:p>
      <w:pPr>
        <w:pStyle w:val="Heading1"/>
      </w:pPr>
      <w:r>
        <w:t>Tool- und Rechnerbezug</w:t>
      </w:r>
    </w:p>
    <w:p>
      <w:r>
        <w:rPr>
          <w:rFonts w:ascii="Arial" w:hAnsi="Arial"/>
          <w:color w:val="4B4F56"/>
          <w:sz w:val="19"/>
        </w:rPr>
        <w:t>Aus dem Konzept lassen sich mehrere Werkzeuge ableiten. Diese Werkzeuge sollen keine Anlageberatung und keine automatische Kreditentscheidung leisten. Sie strukturieren Daten, Risiken, Wirkungslogik und Transformationspfade.</w:t>
      </w:r>
    </w:p>
    <w:p>
      <w:r>
        <w:rPr>
          <w:rFonts w:ascii="Arial" w:hAnsi="Arial"/>
          <w:color w:val="4B4F56"/>
          <w:sz w:val="19"/>
        </w:rPr>
        <w:t>Besonders wichtig ist ein CapEx-Wirkungscheck. Er ergänzt klassische Investitionsanträge um NWI, T-SROI, Stranding-Risiko, Datenqualität und Transformationspfad. Ein Finanzkommunikations-Check kann prüfen, ob ein Bericht Fortschritt, Risiken und Grenzen ausgewogen darstellt.</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3270"/>
        <w:gridCol w:w="3270"/>
        <w:gridCol w:w="3270"/>
      </w:tblGrid>
      <w:tr>
        <w:trPr>
          <w:tblHeader w:val="true"/>
        </w:trPr>
        <w:tc>
          <w:tcPr>
            <w:tcW w:type="dxa" w:w="2835"/>
            <w:shd w:fill="0B1020"/>
            <w:tcMar>
              <w:top w:w="90" w:type="dxa"/>
              <w:start w:w="90" w:type="dxa"/>
              <w:bottom w:w="90" w:type="dxa"/>
              <w:end w:w="90" w:type="dxa"/>
            </w:tcMar>
          </w:tcPr>
          <w:p>
            <w:r>
              <w:rPr>
                <w:b/>
                <w:color w:val="FFFFFF"/>
              </w:rPr>
              <w:t>Tool</w:t>
            </w:r>
          </w:p>
        </w:tc>
        <w:tc>
          <w:tcPr>
            <w:tcW w:type="dxa" w:w="3969"/>
            <w:shd w:fill="0B1020"/>
            <w:tcMar>
              <w:top w:w="90" w:type="dxa"/>
              <w:start w:w="90" w:type="dxa"/>
              <w:bottom w:w="90" w:type="dxa"/>
              <w:end w:w="90" w:type="dxa"/>
            </w:tcMar>
          </w:tcPr>
          <w:p>
            <w:r>
              <w:rPr>
                <w:b/>
                <w:color w:val="FFFFFF"/>
              </w:rPr>
              <w:t>Funktion</w:t>
            </w:r>
          </w:p>
        </w:tc>
        <w:tc>
          <w:tcPr>
            <w:tcW w:type="dxa" w:w="2268"/>
            <w:shd w:fill="0B1020"/>
            <w:tcMar>
              <w:top w:w="90" w:type="dxa"/>
              <w:start w:w="90" w:type="dxa"/>
              <w:bottom w:w="90" w:type="dxa"/>
              <w:end w:w="90" w:type="dxa"/>
            </w:tcMar>
          </w:tcPr>
          <w:p>
            <w:r>
              <w:rPr>
                <w:b/>
                <w:color w:val="FFFFFF"/>
              </w:rPr>
              <w:t>Status</w:t>
            </w:r>
          </w:p>
        </w:tc>
      </w:tr>
      <w:tr>
        <w:tc>
          <w:tcPr>
            <w:tcW w:type="dxa" w:w="2835"/>
            <w:tcMar>
              <w:top w:w="80" w:type="dxa"/>
              <w:start w:w="90" w:type="dxa"/>
              <w:bottom w:w="80" w:type="dxa"/>
              <w:end w:w="90" w:type="dxa"/>
            </w:tcMar>
            <w:shd w:fill="FBF8F1"/>
          </w:tcPr>
          <w:p>
            <w:r>
              <w:rPr>
                <w:b/>
                <w:color w:val="0B1020"/>
              </w:rPr>
              <w:t>CapEx-Wirkungscheck</w:t>
            </w:r>
          </w:p>
        </w:tc>
        <w:tc>
          <w:tcPr>
            <w:tcW w:type="dxa" w:w="3969"/>
            <w:tcMar>
              <w:top w:w="80" w:type="dxa"/>
              <w:start w:w="90" w:type="dxa"/>
              <w:bottom w:w="80" w:type="dxa"/>
              <w:end w:w="90" w:type="dxa"/>
            </w:tcMar>
          </w:tcPr>
          <w:p>
            <w:r>
              <w:t>Investitionsvorhaben nach ROI, NWI, T-SROI und Stranding prüfen</w:t>
            </w:r>
          </w:p>
        </w:tc>
        <w:tc>
          <w:tcPr>
            <w:tcW w:type="dxa" w:w="2268"/>
            <w:tcMar>
              <w:top w:w="80" w:type="dxa"/>
              <w:start w:w="90" w:type="dxa"/>
              <w:bottom w:w="80" w:type="dxa"/>
              <w:end w:w="90" w:type="dxa"/>
            </w:tcMar>
          </w:tcPr>
          <w:p>
            <w:r>
              <w:t>Konzept</w:t>
            </w:r>
          </w:p>
        </w:tc>
      </w:tr>
      <w:tr>
        <w:tc>
          <w:tcPr>
            <w:tcW w:type="dxa" w:w="2835"/>
            <w:tcMar>
              <w:top w:w="80" w:type="dxa"/>
              <w:start w:w="90" w:type="dxa"/>
              <w:bottom w:w="80" w:type="dxa"/>
              <w:end w:w="90" w:type="dxa"/>
            </w:tcMar>
            <w:shd w:fill="FBF8F1"/>
          </w:tcPr>
          <w:p>
            <w:r>
              <w:rPr>
                <w:b/>
                <w:color w:val="0B1020"/>
              </w:rPr>
              <w:t>Wirkungsbilanz-Canvas</w:t>
            </w:r>
          </w:p>
        </w:tc>
        <w:tc>
          <w:tcPr>
            <w:tcW w:type="dxa" w:w="3969"/>
            <w:tcMar>
              <w:top w:w="80" w:type="dxa"/>
              <w:start w:w="90" w:type="dxa"/>
              <w:bottom w:w="80" w:type="dxa"/>
              <w:end w:w="90" w:type="dxa"/>
            </w:tcMar>
          </w:tcPr>
          <w:p>
            <w:r>
              <w:t>Finanz- und Wirkungsdaten in einer Managementansicht verbinden</w:t>
            </w:r>
          </w:p>
        </w:tc>
        <w:tc>
          <w:tcPr>
            <w:tcW w:type="dxa" w:w="2268"/>
            <w:tcMar>
              <w:top w:w="80" w:type="dxa"/>
              <w:start w:w="90" w:type="dxa"/>
              <w:bottom w:w="80" w:type="dxa"/>
              <w:end w:w="90" w:type="dxa"/>
            </w:tcMar>
          </w:tcPr>
          <w:p>
            <w:r>
              <w:t>Konzept</w:t>
            </w:r>
          </w:p>
        </w:tc>
      </w:tr>
      <w:tr>
        <w:tc>
          <w:tcPr>
            <w:tcW w:type="dxa" w:w="2835"/>
            <w:tcMar>
              <w:top w:w="80" w:type="dxa"/>
              <w:start w:w="90" w:type="dxa"/>
              <w:bottom w:w="80" w:type="dxa"/>
              <w:end w:w="90" w:type="dxa"/>
            </w:tcMar>
            <w:shd w:fill="FBF8F1"/>
          </w:tcPr>
          <w:p>
            <w:r>
              <w:rPr>
                <w:b/>
                <w:color w:val="0B1020"/>
              </w:rPr>
              <w:t>Stranded-Asset-Radar</w:t>
            </w:r>
          </w:p>
        </w:tc>
        <w:tc>
          <w:tcPr>
            <w:tcW w:type="dxa" w:w="3969"/>
            <w:tcMar>
              <w:top w:w="80" w:type="dxa"/>
              <w:start w:w="90" w:type="dxa"/>
              <w:bottom w:w="80" w:type="dxa"/>
              <w:end w:w="90" w:type="dxa"/>
            </w:tcMar>
          </w:tcPr>
          <w:p>
            <w:r>
              <w:t>Altpfade, Regulatorik, Klima- und Nachfrageverschiebung sichtbar machen</w:t>
            </w:r>
          </w:p>
        </w:tc>
        <w:tc>
          <w:tcPr>
            <w:tcW w:type="dxa" w:w="2268"/>
            <w:tcMar>
              <w:top w:w="80" w:type="dxa"/>
              <w:start w:w="90" w:type="dxa"/>
              <w:bottom w:w="80" w:type="dxa"/>
              <w:end w:w="90" w:type="dxa"/>
            </w:tcMar>
          </w:tcPr>
          <w:p>
            <w:r>
              <w:t>Konzept</w:t>
            </w:r>
          </w:p>
        </w:tc>
      </w:tr>
      <w:tr>
        <w:tc>
          <w:tcPr>
            <w:tcW w:type="dxa" w:w="2835"/>
            <w:tcMar>
              <w:top w:w="80" w:type="dxa"/>
              <w:start w:w="90" w:type="dxa"/>
              <w:bottom w:w="80" w:type="dxa"/>
              <w:end w:w="90" w:type="dxa"/>
            </w:tcMar>
            <w:shd w:fill="FBF8F1"/>
          </w:tcPr>
          <w:p>
            <w:r>
              <w:rPr>
                <w:b/>
                <w:color w:val="0B1020"/>
              </w:rPr>
              <w:t>Wirkungskreditprofil</w:t>
            </w:r>
          </w:p>
        </w:tc>
        <w:tc>
          <w:tcPr>
            <w:tcW w:type="dxa" w:w="3969"/>
            <w:tcMar>
              <w:top w:w="80" w:type="dxa"/>
              <w:start w:w="90" w:type="dxa"/>
              <w:bottom w:w="80" w:type="dxa"/>
              <w:end w:w="90" w:type="dxa"/>
            </w:tcMar>
          </w:tcPr>
          <w:p>
            <w:r>
              <w:t>Datenpaket für Banken und Fördermittel strukturieren</w:t>
            </w:r>
          </w:p>
        </w:tc>
        <w:tc>
          <w:tcPr>
            <w:tcW w:type="dxa" w:w="2268"/>
            <w:tcMar>
              <w:top w:w="80" w:type="dxa"/>
              <w:start w:w="90" w:type="dxa"/>
              <w:bottom w:w="80" w:type="dxa"/>
              <w:end w:w="90" w:type="dxa"/>
            </w:tcMar>
          </w:tcPr>
          <w:p>
            <w:r>
              <w:t>Konzept</w:t>
            </w:r>
          </w:p>
        </w:tc>
      </w:tr>
      <w:tr>
        <w:tc>
          <w:tcPr>
            <w:tcW w:type="dxa" w:w="2835"/>
            <w:tcMar>
              <w:top w:w="80" w:type="dxa"/>
              <w:start w:w="90" w:type="dxa"/>
              <w:bottom w:w="80" w:type="dxa"/>
              <w:end w:w="90" w:type="dxa"/>
            </w:tcMar>
            <w:shd w:fill="FBF8F1"/>
          </w:tcPr>
          <w:p>
            <w:r>
              <w:rPr>
                <w:b/>
                <w:color w:val="0B1020"/>
              </w:rPr>
              <w:t>Finanzkommunikations-Check</w:t>
            </w:r>
          </w:p>
        </w:tc>
        <w:tc>
          <w:tcPr>
            <w:tcW w:type="dxa" w:w="3969"/>
            <w:tcMar>
              <w:top w:w="80" w:type="dxa"/>
              <w:start w:w="90" w:type="dxa"/>
              <w:bottom w:w="80" w:type="dxa"/>
              <w:end w:w="90" w:type="dxa"/>
            </w:tcMar>
          </w:tcPr>
          <w:p>
            <w:r>
              <w:t>Bericht auf Wirkungswahrheit, Risiken und Grenzen prüfen</w:t>
            </w:r>
          </w:p>
        </w:tc>
        <w:tc>
          <w:tcPr>
            <w:tcW w:type="dxa" w:w="2268"/>
            <w:tcMar>
              <w:top w:w="80" w:type="dxa"/>
              <w:start w:w="90" w:type="dxa"/>
              <w:bottom w:w="80" w:type="dxa"/>
              <w:end w:w="90" w:type="dxa"/>
            </w:tcMar>
          </w:tcPr>
          <w:p>
            <w:r>
              <w:t>Konzept</w:t>
            </w:r>
          </w:p>
        </w:tc>
      </w:tr>
    </w:tbl>
    <w:p/>
    <w:p>
      <w:pPr>
        <w:pStyle w:val="Heading1"/>
      </w:pPr>
      <w:r>
        <w:t>SDG-/SDG+-Bezug</w:t>
      </w:r>
    </w:p>
    <w:p>
      <w:r>
        <w:rPr>
          <w:rFonts w:ascii="Arial" w:hAnsi="Arial"/>
          <w:color w:val="4B4F56"/>
          <w:sz w:val="19"/>
        </w:rPr>
        <w:t>Finanzierung und Bilanz nach Wirkung berühren viele SDGs indirekt. Besonders relevant sind SDG 8, 9, 12, 13 und 16 sowie SDG+ institutionelles Vertrauen, Rechtsstaatlichkeit und Demokratie. Kapitalentscheidungen bestimmen, welche Produktionsweisen, Technologien, Lieferketten und Infrastrukturen wachsen.</w:t>
      </w:r>
    </w:p>
    <w:p>
      <w:r>
        <w:rPr>
          <w:rFonts w:ascii="Arial" w:hAnsi="Arial"/>
          <w:color w:val="4B4F56"/>
          <w:sz w:val="19"/>
        </w:rPr>
        <w:t>Wirkungsökonomisch ist die Finanzfunktion deshalb kein Backoffice. Sie entscheidet, ob positive Netto-Wirkung finanziert, negative Wirkung konserviert oder Transformation verzögert wird.</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268"/>
            <w:shd w:fill="0B1020"/>
            <w:tcMar>
              <w:top w:w="90" w:type="dxa"/>
              <w:start w:w="90" w:type="dxa"/>
              <w:bottom w:w="90" w:type="dxa"/>
              <w:end w:w="90" w:type="dxa"/>
            </w:tcMar>
          </w:tcPr>
          <w:p>
            <w:r>
              <w:rPr>
                <w:b/>
                <w:color w:val="FFFFFF"/>
              </w:rPr>
              <w:t>Referenz</w:t>
            </w:r>
          </w:p>
        </w:tc>
        <w:tc>
          <w:tcPr>
            <w:tcW w:type="dxa" w:w="6803"/>
            <w:shd w:fill="0B1020"/>
            <w:tcMar>
              <w:top w:w="90" w:type="dxa"/>
              <w:start w:w="90" w:type="dxa"/>
              <w:bottom w:w="90" w:type="dxa"/>
              <w:end w:w="90" w:type="dxa"/>
            </w:tcMar>
          </w:tcPr>
          <w:p>
            <w:r>
              <w:rPr>
                <w:b/>
                <w:color w:val="FFFFFF"/>
              </w:rPr>
              <w:t>Bedeutung</w:t>
            </w:r>
          </w:p>
        </w:tc>
      </w:tr>
      <w:tr>
        <w:tc>
          <w:tcPr>
            <w:tcW w:type="dxa" w:w="2268"/>
            <w:tcMar>
              <w:top w:w="80" w:type="dxa"/>
              <w:start w:w="90" w:type="dxa"/>
              <w:bottom w:w="80" w:type="dxa"/>
              <w:end w:w="90" w:type="dxa"/>
            </w:tcMar>
            <w:shd w:fill="FBF8F1"/>
          </w:tcPr>
          <w:p>
            <w:r>
              <w:rPr>
                <w:b/>
                <w:color w:val="0B1020"/>
              </w:rPr>
              <w:t>SDG 8</w:t>
            </w:r>
          </w:p>
        </w:tc>
        <w:tc>
          <w:tcPr>
            <w:tcW w:type="dxa" w:w="6803"/>
            <w:tcMar>
              <w:top w:w="80" w:type="dxa"/>
              <w:start w:w="90" w:type="dxa"/>
              <w:bottom w:w="80" w:type="dxa"/>
              <w:end w:w="90" w:type="dxa"/>
            </w:tcMar>
          </w:tcPr>
          <w:p>
            <w:r>
              <w:t>menschenwürdige Arbeit, Produktivität, faire Wertschöpfung</w:t>
            </w:r>
          </w:p>
        </w:tc>
      </w:tr>
      <w:tr>
        <w:tc>
          <w:tcPr>
            <w:tcW w:type="dxa" w:w="2268"/>
            <w:tcMar>
              <w:top w:w="80" w:type="dxa"/>
              <w:start w:w="90" w:type="dxa"/>
              <w:bottom w:w="80" w:type="dxa"/>
              <w:end w:w="90" w:type="dxa"/>
            </w:tcMar>
            <w:shd w:fill="FBF8F1"/>
          </w:tcPr>
          <w:p>
            <w:r>
              <w:rPr>
                <w:b/>
                <w:color w:val="0B1020"/>
              </w:rPr>
              <w:t>SDG 9</w:t>
            </w:r>
          </w:p>
        </w:tc>
        <w:tc>
          <w:tcPr>
            <w:tcW w:type="dxa" w:w="6803"/>
            <w:tcMar>
              <w:top w:w="80" w:type="dxa"/>
              <w:start w:w="90" w:type="dxa"/>
              <w:bottom w:w="80" w:type="dxa"/>
              <w:end w:w="90" w:type="dxa"/>
            </w:tcMar>
          </w:tcPr>
          <w:p>
            <w:r>
              <w:t>Industrie, Innovation, Infrastruktur, Transformations-CapEx</w:t>
            </w:r>
          </w:p>
        </w:tc>
      </w:tr>
      <w:tr>
        <w:tc>
          <w:tcPr>
            <w:tcW w:type="dxa" w:w="2268"/>
            <w:tcMar>
              <w:top w:w="80" w:type="dxa"/>
              <w:start w:w="90" w:type="dxa"/>
              <w:bottom w:w="80" w:type="dxa"/>
              <w:end w:w="90" w:type="dxa"/>
            </w:tcMar>
            <w:shd w:fill="FBF8F1"/>
          </w:tcPr>
          <w:p>
            <w:r>
              <w:rPr>
                <w:b/>
                <w:color w:val="0B1020"/>
              </w:rPr>
              <w:t>SDG 12</w:t>
            </w:r>
          </w:p>
        </w:tc>
        <w:tc>
          <w:tcPr>
            <w:tcW w:type="dxa" w:w="6803"/>
            <w:tcMar>
              <w:top w:w="80" w:type="dxa"/>
              <w:start w:w="90" w:type="dxa"/>
              <w:bottom w:w="80" w:type="dxa"/>
              <w:end w:w="90" w:type="dxa"/>
            </w:tcMar>
          </w:tcPr>
          <w:p>
            <w:r>
              <w:t>Kreislauf, Ressourcen, Produkt- und Lieferkettenwirkung</w:t>
            </w:r>
          </w:p>
        </w:tc>
      </w:tr>
      <w:tr>
        <w:tc>
          <w:tcPr>
            <w:tcW w:type="dxa" w:w="2268"/>
            <w:tcMar>
              <w:top w:w="80" w:type="dxa"/>
              <w:start w:w="90" w:type="dxa"/>
              <w:bottom w:w="80" w:type="dxa"/>
              <w:end w:w="90" w:type="dxa"/>
            </w:tcMar>
            <w:shd w:fill="FBF8F1"/>
          </w:tcPr>
          <w:p>
            <w:r>
              <w:rPr>
                <w:b/>
                <w:color w:val="0B1020"/>
              </w:rPr>
              <w:t>SDG 13</w:t>
            </w:r>
          </w:p>
        </w:tc>
        <w:tc>
          <w:tcPr>
            <w:tcW w:type="dxa" w:w="6803"/>
            <w:tcMar>
              <w:top w:w="80" w:type="dxa"/>
              <w:start w:w="90" w:type="dxa"/>
              <w:bottom w:w="80" w:type="dxa"/>
              <w:end w:w="90" w:type="dxa"/>
            </w:tcMar>
          </w:tcPr>
          <w:p>
            <w:r>
              <w:t>Klimarisiko, Transformationspläne, Stranded Assets</w:t>
            </w:r>
          </w:p>
        </w:tc>
      </w:tr>
      <w:tr>
        <w:tc>
          <w:tcPr>
            <w:tcW w:type="dxa" w:w="2268"/>
            <w:tcMar>
              <w:top w:w="80" w:type="dxa"/>
              <w:start w:w="90" w:type="dxa"/>
              <w:bottom w:w="80" w:type="dxa"/>
              <w:end w:w="90" w:type="dxa"/>
            </w:tcMar>
            <w:shd w:fill="FBF8F1"/>
          </w:tcPr>
          <w:p>
            <w:r>
              <w:rPr>
                <w:b/>
                <w:color w:val="0B1020"/>
              </w:rPr>
              <w:t>SDG 16 / SDG+</w:t>
            </w:r>
          </w:p>
        </w:tc>
        <w:tc>
          <w:tcPr>
            <w:tcW w:type="dxa" w:w="6803"/>
            <w:tcMar>
              <w:top w:w="80" w:type="dxa"/>
              <w:start w:w="90" w:type="dxa"/>
              <w:bottom w:w="80" w:type="dxa"/>
              <w:end w:w="90" w:type="dxa"/>
            </w:tcMar>
          </w:tcPr>
          <w:p>
            <w:r>
              <w:t>Transparenz, Governance, Vertrauen, Schutz vor Finanz- und Impact-Washing</w:t>
            </w:r>
          </w:p>
        </w:tc>
      </w:tr>
    </w:tbl>
    <w:p/>
    <w:p>
      <w:pPr>
        <w:pStyle w:val="Heading1"/>
      </w:pPr>
      <w:r>
        <w:t>Politische Anschlussfähigkeit und Umsetzungsoptionen</w:t>
      </w:r>
    </w:p>
    <w:p>
      <w:r>
        <w:rPr>
          <w:rFonts w:ascii="Arial" w:hAnsi="Arial"/>
          <w:color w:val="4B4F56"/>
          <w:sz w:val="19"/>
        </w:rPr>
        <w:t>Politisch bleibt die Ausgestaltung offen. Konservative Perspektiven können Stabilität, Rechtssicherheit und Eigentumsverantwortung betonen. Liberale Perspektiven können bessere Marktsignale und Bürokratieabbau durch Standardisierung hervorheben. Sozialdemokratische und linke Perspektiven können Teilhabe, Verteilung und Schutz vor Kapitalmacht stärken. Grüne Perspektiven können planetare Grenzen und Transformationsfinanzierung betonen.</w:t>
      </w:r>
    </w:p>
    <w:p>
      <w:r>
        <w:rPr>
          <w:rFonts w:ascii="Arial" w:hAnsi="Arial"/>
          <w:color w:val="4B4F56"/>
          <w:sz w:val="19"/>
        </w:rPr>
        <w:t>Entscheidend ist: Wirkung ersetzt politische Entscheidung nicht. Sie macht Zielkonflikte sichtbar. Der politische Streit bleibt erhalten, aber er findet auf besserer Informationsgrundlage statt.</w:t>
      </w:r>
    </w:p>
    <w:tbl>
      <w:tblPr>
        <w:tblW w:type="auto" w:w="0"/>
        <w:jc w:val="center"/>
        <w:tblLook w:firstColumn="1" w:firstRow="1" w:lastColumn="0" w:lastRow="0" w:noHBand="0" w:noVBand="1" w:val="04A0"/>
        <w:tblBorders>
          <w:top w:val="single" w:sz="6" w:space="0" w:color="D7D2C9"/>
          <w:left w:val="single" w:sz="6" w:space="0" w:color="D7D2C9"/>
          <w:bottom w:val="single" w:sz="6" w:space="0" w:color="D7D2C9"/>
          <w:right w:val="single" w:sz="6" w:space="0" w:color="D7D2C9"/>
          <w:insideH w:val="single" w:sz="6" w:space="0" w:color="D7D2C9"/>
          <w:insideV w:val="single" w:sz="6" w:space="0" w:color="D7D2C9"/>
        </w:tblBorders>
      </w:tblPr>
      <w:tblGrid>
        <w:gridCol w:w="4904"/>
        <w:gridCol w:w="4904"/>
      </w:tblGrid>
      <w:tr>
        <w:trPr>
          <w:tblHeader w:val="true"/>
        </w:trPr>
        <w:tc>
          <w:tcPr>
            <w:tcW w:type="dxa" w:w="2835"/>
            <w:shd w:fill="0B1020"/>
            <w:tcMar>
              <w:top w:w="90" w:type="dxa"/>
              <w:start w:w="90" w:type="dxa"/>
              <w:bottom w:w="90" w:type="dxa"/>
              <w:end w:w="90" w:type="dxa"/>
            </w:tcMar>
          </w:tcPr>
          <w:p>
            <w:r>
              <w:rPr>
                <w:b/>
                <w:color w:val="FFFFFF"/>
              </w:rPr>
              <w:t>Ebene</w:t>
            </w:r>
          </w:p>
        </w:tc>
        <w:tc>
          <w:tcPr>
            <w:tcW w:type="dxa" w:w="6236"/>
            <w:shd w:fill="0B1020"/>
            <w:tcMar>
              <w:top w:w="90" w:type="dxa"/>
              <w:start w:w="90" w:type="dxa"/>
              <w:bottom w:w="90" w:type="dxa"/>
              <w:end w:w="90" w:type="dxa"/>
            </w:tcMar>
          </w:tcPr>
          <w:p>
            <w:r>
              <w:rPr>
                <w:b/>
                <w:color w:val="FFFFFF"/>
              </w:rPr>
              <w:t>Aufgabe</w:t>
            </w:r>
          </w:p>
        </w:tc>
      </w:tr>
      <w:tr>
        <w:tc>
          <w:tcPr>
            <w:tcW w:type="dxa" w:w="2835"/>
            <w:tcMar>
              <w:top w:w="80" w:type="dxa"/>
              <w:start w:w="90" w:type="dxa"/>
              <w:bottom w:w="80" w:type="dxa"/>
              <w:end w:w="90" w:type="dxa"/>
            </w:tcMar>
            <w:shd w:fill="FBF8F1"/>
          </w:tcPr>
          <w:p>
            <w:r>
              <w:rPr>
                <w:b/>
                <w:color w:val="0B1020"/>
              </w:rPr>
              <w:t>Aufgabe der Politik</w:t>
            </w:r>
          </w:p>
        </w:tc>
        <w:tc>
          <w:tcPr>
            <w:tcW w:type="dxa" w:w="6236"/>
            <w:tcMar>
              <w:top w:w="80" w:type="dxa"/>
              <w:start w:w="90" w:type="dxa"/>
              <w:bottom w:w="80" w:type="dxa"/>
              <w:end w:w="90" w:type="dxa"/>
            </w:tcMar>
          </w:tcPr>
          <w:p>
            <w:r>
              <w:t>Standards für Wirkungsdaten, Finanzierungsinstrumente und Missbrauchsschutz schaffen</w:t>
            </w:r>
          </w:p>
        </w:tc>
      </w:tr>
      <w:tr>
        <w:tc>
          <w:tcPr>
            <w:tcW w:type="dxa" w:w="2835"/>
            <w:tcMar>
              <w:top w:w="80" w:type="dxa"/>
              <w:start w:w="90" w:type="dxa"/>
              <w:bottom w:w="80" w:type="dxa"/>
              <w:end w:w="90" w:type="dxa"/>
            </w:tcMar>
            <w:shd w:fill="FBF8F1"/>
          </w:tcPr>
          <w:p>
            <w:r>
              <w:rPr>
                <w:b/>
                <w:color w:val="0B1020"/>
              </w:rPr>
              <w:t>Rahmenbedingungen</w:t>
            </w:r>
          </w:p>
        </w:tc>
        <w:tc>
          <w:tcPr>
            <w:tcW w:type="dxa" w:w="6236"/>
            <w:tcMar>
              <w:top w:w="80" w:type="dxa"/>
              <w:start w:w="90" w:type="dxa"/>
              <w:bottom w:w="80" w:type="dxa"/>
              <w:end w:w="90" w:type="dxa"/>
            </w:tcMar>
          </w:tcPr>
          <w:p>
            <w:r>
              <w:t>CSRD/ESRS-Anschluss, KMU-Profile, Wirkungsfonds, Steuerbrücken, Assurance</w:t>
            </w:r>
          </w:p>
        </w:tc>
      </w:tr>
      <w:tr>
        <w:tc>
          <w:tcPr>
            <w:tcW w:type="dxa" w:w="2835"/>
            <w:tcMar>
              <w:top w:w="80" w:type="dxa"/>
              <w:start w:w="90" w:type="dxa"/>
              <w:bottom w:w="80" w:type="dxa"/>
              <w:end w:w="90" w:type="dxa"/>
            </w:tcMar>
            <w:shd w:fill="FBF8F1"/>
          </w:tcPr>
          <w:p>
            <w:r>
              <w:rPr>
                <w:b/>
                <w:color w:val="0B1020"/>
              </w:rPr>
              <w:t>Ausgestaltungsspielraum</w:t>
            </w:r>
          </w:p>
        </w:tc>
        <w:tc>
          <w:tcPr>
            <w:tcW w:type="dxa" w:w="6236"/>
            <w:tcMar>
              <w:top w:w="80" w:type="dxa"/>
              <w:start w:w="90" w:type="dxa"/>
              <w:bottom w:w="80" w:type="dxa"/>
              <w:end w:w="90" w:type="dxa"/>
            </w:tcMar>
          </w:tcPr>
          <w:p>
            <w:r>
              <w:t>Verbindlichkeit, Schwellenwerte, Förderquoten, Steuerwirkung, Übergangsfristen</w:t>
            </w:r>
          </w:p>
        </w:tc>
      </w:tr>
      <w:tr>
        <w:tc>
          <w:tcPr>
            <w:tcW w:type="dxa" w:w="2835"/>
            <w:tcMar>
              <w:top w:w="80" w:type="dxa"/>
              <w:start w:w="90" w:type="dxa"/>
              <w:bottom w:w="80" w:type="dxa"/>
              <w:end w:w="90" w:type="dxa"/>
            </w:tcMar>
            <w:shd w:fill="FBF8F1"/>
          </w:tcPr>
          <w:p>
            <w:r>
              <w:rPr>
                <w:b/>
                <w:color w:val="0B1020"/>
              </w:rPr>
              <w:t>Zielkonflikte</w:t>
            </w:r>
          </w:p>
        </w:tc>
        <w:tc>
          <w:tcPr>
            <w:tcW w:type="dxa" w:w="6236"/>
            <w:tcMar>
              <w:top w:w="80" w:type="dxa"/>
              <w:start w:w="90" w:type="dxa"/>
              <w:bottom w:w="80" w:type="dxa"/>
              <w:end w:w="90" w:type="dxa"/>
            </w:tcMar>
          </w:tcPr>
          <w:p>
            <w:r>
              <w:t>Bürokratie vs. Datenqualität, Wettbewerbsfähigkeit vs. Zukunftssicherung, Tempo vs. Schutz</w:t>
            </w:r>
          </w:p>
        </w:tc>
      </w:tr>
      <w:tr>
        <w:tc>
          <w:tcPr>
            <w:tcW w:type="dxa" w:w="2835"/>
            <w:tcMar>
              <w:top w:w="80" w:type="dxa"/>
              <w:start w:w="90" w:type="dxa"/>
              <w:bottom w:w="80" w:type="dxa"/>
              <w:end w:w="90" w:type="dxa"/>
            </w:tcMar>
            <w:shd w:fill="FBF8F1"/>
          </w:tcPr>
          <w:p>
            <w:r>
              <w:rPr>
                <w:b/>
                <w:color w:val="0B1020"/>
              </w:rPr>
              <w:t>Schutz vor Technokratie</w:t>
            </w:r>
          </w:p>
        </w:tc>
        <w:tc>
          <w:tcPr>
            <w:tcW w:type="dxa" w:w="6236"/>
            <w:tcMar>
              <w:top w:w="80" w:type="dxa"/>
              <w:start w:w="90" w:type="dxa"/>
              <w:bottom w:w="80" w:type="dxa"/>
              <w:end w:w="90" w:type="dxa"/>
            </w:tcMar>
          </w:tcPr>
          <w:p>
            <w:r>
              <w:t>Finanz- und Wirkungsdaten bereiten Entscheidungen vor, ersetzen sie aber nicht</w:t>
            </w:r>
          </w:p>
        </w:tc>
      </w:tr>
    </w:tbl>
    <w:p/>
    <w:p>
      <w:pPr>
        <w:pStyle w:val="Heading1"/>
      </w:pPr>
      <w:r>
        <w:t>Website- und Portalintegration</w:t>
      </w:r>
    </w:p>
    <w:p>
      <w:r>
        <w:rPr>
          <w:rFonts w:ascii="Arial" w:hAnsi="Arial"/>
          <w:color w:val="4B4F56"/>
          <w:sz w:val="19"/>
        </w:rPr>
        <w:t>Dieses Detailkonzept gehört in den Unternehmensbereich als Vertiefung zu Finanzen, Controlling, Risikomanagement und Kapitalzugang. Es muss eng mit Finanzsystem &amp; Kapital, Impact Controlling, WÖk-IDs, T-SROI, Wirkungsfonds, WStG und WUStG verlinkt werden.</w:t>
      </w:r>
    </w:p>
    <w:p>
      <w:r>
        <w:rPr>
          <w:rFonts w:ascii="Arial" w:hAnsi="Arial"/>
          <w:color w:val="4B4F56"/>
          <w:sz w:val="19"/>
        </w:rPr>
        <w:t>Auf der Website sollte die Kurzfassung erklären, dass Bilanz und Finanzierung nach Wirkung keine neue Bilanzpflicht im Alleingang bedeuten, sondern eine Management- und Finanzierungsbrücke. Online-Volltext und Download stehen darunter.</w:t>
      </w:r>
    </w:p>
    <w:p>
      <w:pPr>
        <w:pStyle w:val="Heading1"/>
      </w:pPr>
      <w:r>
        <w:t>Fazit</w:t>
      </w:r>
    </w:p>
    <w:p>
      <w:r>
        <w:rPr>
          <w:rFonts w:ascii="Arial" w:hAnsi="Arial"/>
          <w:color w:val="4B4F56"/>
          <w:sz w:val="19"/>
        </w:rPr>
        <w:t>Finanzierung entscheidet, welche Zukunft gebaut wird. Wenn Kapital nur Rendite folgt, finanziert es auch destruktive Pfade. Wenn Kapital Wirkung sieht, kann es Transformation beschleunigen.</w:t>
      </w:r>
    </w:p>
    <w:p>
      <w:r>
        <w:rPr>
          <w:rFonts w:ascii="Arial" w:hAnsi="Arial"/>
          <w:color w:val="4B4F56"/>
          <w:sz w:val="19"/>
        </w:rPr>
        <w:t>Bilanz, Finanzierung und Finanzkommunikation nach Wirkung machen nicht alles sofort einfach. Aber sie machen sichtbar, wo Wert entsteht, wo Risiko verdrängt wird und wo Kapital in positive Netto-Wirkung übersetzt werden kann.</w:t>
      </w:r>
    </w:p>
    <w:p>
      <w:pPr>
        <w:pStyle w:val="Heading1"/>
      </w:pPr>
      <w:r>
        <w:t>Quellen und Anschlussstellen</w:t>
      </w:r>
    </w:p>
    <w:p>
      <w:r>
        <w:rPr>
          <w:b/>
          <w:color w:val="0B1020"/>
        </w:rPr>
        <w:t xml:space="preserve">CSRD / Corporate Sustainability Reporting, European Commission: </w:t>
      </w:r>
      <w:r>
        <w:rPr>
          <w:color w:val="2F7D5C"/>
          <w:u w:val="single"/>
        </w:rPr>
        <w:t>https://finance.ec.europa.eu/financial-markets/company-reporting-and-auditing/company-reporting/corporate-sustainability-reporting_en</w:t>
      </w:r>
    </w:p>
    <w:p>
      <w:r>
        <w:rPr>
          <w:b/>
          <w:color w:val="0B1020"/>
        </w:rPr>
        <w:t xml:space="preserve">EU Taxonomy for sustainable activities, European Commission: </w:t>
      </w:r>
      <w:r>
        <w:rPr>
          <w:color w:val="2F7D5C"/>
          <w:u w:val="single"/>
        </w:rPr>
        <w:t>https://finance.ec.europa.eu/sustainable-finance/tools-and-standards/eu-taxonomy-sustainable-activities_en</w:t>
      </w:r>
    </w:p>
    <w:p>
      <w:r>
        <w:rPr>
          <w:b/>
          <w:color w:val="0B1020"/>
        </w:rPr>
        <w:t xml:space="preserve">Corporate Sustainability Due Diligence, European Commission: </w:t>
      </w:r>
      <w:r>
        <w:rPr>
          <w:color w:val="2F7D5C"/>
          <w:u w:val="single"/>
        </w:rPr>
        <w:t>https://commission.europa.eu/topics/business-and-industry/doing-business-eu/sustainability-due-diligence-responsible-business/corporate-sustainability-due-diligence_en</w:t>
      </w:r>
    </w:p>
    <w:p>
      <w:r>
        <w:rPr>
          <w:b/>
          <w:color w:val="0B1020"/>
        </w:rPr>
        <w:t xml:space="preserve">Ecodesign for Sustainable Products Regulation / Digital Product Passport, European Commission: </w:t>
      </w:r>
      <w:r>
        <w:rPr>
          <w:color w:val="2F7D5C"/>
          <w:u w:val="single"/>
        </w:rPr>
        <w:t>https://environment.ec.europa.eu/strategy/circular-economy/ecodesign-sustainable-products-regulation_en</w:t>
      </w:r>
    </w:p>
    <w:p>
      <w:r>
        <w:rPr>
          <w:b/>
          <w:color w:val="0B1020"/>
        </w:rPr>
        <w:t xml:space="preserve">EBA Guidelines on the management of ESG risks: </w:t>
      </w:r>
      <w:r>
        <w:rPr>
          <w:color w:val="2F7D5C"/>
          <w:u w:val="single"/>
        </w:rPr>
        <w:t>https://www.eba.europa.eu/activities/single-rulebook/regulatory-activities/sustainable-finance/guidelines-management-esg-risks</w:t>
      </w:r>
    </w:p>
    <w:p>
      <w:pPr>
        <w:pStyle w:val="Heading1"/>
      </w:pPr>
      <w:r>
        <w:t>Buchanker und interne Referenzen</w:t>
      </w:r>
    </w:p>
    <w:p>
      <w:pPr>
        <w:ind w:left="312" w:hanging="142"/>
      </w:pPr>
      <w:r>
        <w:rPr>
          <w:b/>
          <w:color w:val="2F7D5C"/>
        </w:rPr>
        <w:t xml:space="preserve">• </w:t>
      </w:r>
      <w:r>
        <w:rPr>
          <w:rFonts w:ascii="Arial" w:hAnsi="Arial"/>
          <w:color w:val="4B4F56"/>
          <w:sz w:val="19"/>
        </w:rPr>
        <w:t>Teil VII, Kapitel 44.5: Bilanz, CapEx, Opex und Finanzkommunikation nach Wirkung.</w:t>
      </w:r>
    </w:p>
    <w:p>
      <w:pPr>
        <w:ind w:left="312" w:hanging="142"/>
      </w:pPr>
      <w:r>
        <w:rPr>
          <w:b/>
          <w:color w:val="2F7D5C"/>
        </w:rPr>
        <w:t xml:space="preserve">• </w:t>
      </w:r>
      <w:r>
        <w:rPr>
          <w:rFonts w:ascii="Arial" w:hAnsi="Arial"/>
          <w:color w:val="4B4F56"/>
          <w:sz w:val="19"/>
        </w:rPr>
        <w:t>Teil IX, Kapitel 59: Kapitalmärkte und Fonds.</w:t>
      </w:r>
    </w:p>
    <w:p>
      <w:pPr>
        <w:ind w:left="312" w:hanging="142"/>
      </w:pPr>
      <w:r>
        <w:rPr>
          <w:b/>
          <w:color w:val="2F7D5C"/>
        </w:rPr>
        <w:t xml:space="preserve">• </w:t>
      </w:r>
      <w:r>
        <w:rPr>
          <w:rFonts w:ascii="Arial" w:hAnsi="Arial"/>
          <w:color w:val="4B4F56"/>
          <w:sz w:val="19"/>
        </w:rPr>
        <w:t>Teil V, Kapitel 31-35: WÖk-IDs, Scorecards, T-SROI und digitale Produktpässe.</w:t>
      </w:r>
    </w:p>
    <w:p>
      <w:pPr>
        <w:ind w:left="312" w:hanging="142"/>
      </w:pPr>
      <w:r>
        <w:rPr>
          <w:b/>
          <w:color w:val="2F7D5C"/>
        </w:rPr>
        <w:t xml:space="preserve">• </w:t>
      </w:r>
      <w:r>
        <w:rPr>
          <w:rFonts w:ascii="Arial" w:hAnsi="Arial"/>
          <w:color w:val="4B4F56"/>
          <w:sz w:val="19"/>
        </w:rPr>
        <w:t>Teil VI: WStG, WUStG, Wirkungshaushalt und Wirkungsrat.</w:t>
      </w:r>
    </w:p>
    <w:sectPr w:rsidR="00FC693F" w:rsidRPr="0006063C" w:rsidSect="00034616">
      <w:headerReference w:type="default" r:id="rId9"/>
      <w:footerReference w:type="default" r:id="rId10"/>
      <w:pgSz w:w="11906" w:h="16838"/>
      <w:pgMar w:top="1020" w:right="1020" w:bottom="964" w:left="1077"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4B4F56"/>
        <w:sz w:val="16"/>
      </w:rPr>
      <w:t xml:space="preserve">Natalie Weber · Wirkungsökonomie · Go 7 · Seite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b/>
        <w:color w:val="2F7D5C"/>
        <w:sz w:val="16"/>
      </w:rPr>
      <w:t>Wirkungsökonomie · Wirtschaft &amp; Unternehmen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eastAsia="Arial"/>
      <w:color w:val="4B4F56"/>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Theme="majorHAnsi" w:eastAsiaTheme="majorEastAsia" w:hAnsiTheme="majorHAnsi" w:cstheme="majorBidi" w:ascii="Georgia" w:hAnsi="Georgia" w:eastAsia="Georgia"/>
      <w:b/>
      <w:bCs/>
      <w:color w:val="0B1020"/>
      <w:sz w:val="34"/>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Theme="majorHAnsi" w:eastAsiaTheme="majorEastAsia" w:hAnsiTheme="majorHAnsi" w:cstheme="majorBidi" w:ascii="Georgia" w:hAnsi="Georgia" w:eastAsia="Georgia"/>
      <w:b/>
      <w:bCs/>
      <w:color w:val="0B1020"/>
      <w:sz w:val="26"/>
      <w:szCs w:val="26"/>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Theme="majorHAnsi" w:eastAsiaTheme="majorEastAsia" w:hAnsiTheme="majorHAnsi" w:cstheme="majorBidi" w:ascii="Georgia" w:hAnsi="Georgia" w:eastAsia="Georgia"/>
      <w:b/>
      <w:bCs/>
      <w:color w:val="0B102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b/>
      <w:color w:val="0B1020"/>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