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2F7D5C"/>
          <w:sz w:val="24"/>
        </w:rPr>
        <w:t>WIRKUNGSÖKONOMIE</w:t>
      </w:r>
    </w:p>
    <w:p>
      <w:pPr>
        <w:spacing w:after="320"/>
      </w:pPr>
      <w:r>
        <w:rPr>
          <w:rFonts w:ascii="Arial" w:hAnsi="Arial"/>
          <w:b/>
          <w:color w:val="C89B3C"/>
          <w:sz w:val="20"/>
        </w:rPr>
        <w:t>DETAILKONZEPT</w:t>
      </w:r>
    </w:p>
    <w:p>
      <w:pPr>
        <w:pStyle w:val="Title"/>
        <w:spacing w:after="80"/>
      </w:pPr>
      <w:r>
        <w:t>Transformation, KMU-Tauglichkeit und Übergangspfade</w:t>
      </w:r>
    </w:p>
    <w:p>
      <w:pPr>
        <w:spacing w:after="360"/>
      </w:pPr>
      <w:r>
        <w:rPr>
          <w:rFonts w:ascii="Georgia" w:hAnsi="Georgia"/>
          <w:color w:val="0B1020"/>
          <w:sz w:val="26"/>
        </w:rPr>
        <w:t>Wie Unternehmen wirkungsökonomisch umbauen, ohne Überforderung, Greenwashing oder Systembruch</w:t>
      </w:r>
    </w:p>
    <w:tbl>
      <w:tblPr>
        <w:tblW w:type="auto" w:w="0"/>
        <w:jc w:val="left"/>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c>
          <w:tcPr>
            <w:tcW w:type="dxa" w:w="2268"/>
            <w:shd w:fill="F6F1E8"/>
            <w:tcMar>
              <w:top w:w="90" w:type="dxa"/>
              <w:start w:w="90" w:type="dxa"/>
              <w:bottom w:w="90" w:type="dxa"/>
              <w:end w:w="90" w:type="dxa"/>
            </w:tcMar>
          </w:tcPr>
          <w:p>
            <w:r>
              <w:rPr>
                <w:b/>
                <w:color w:val="0B1020"/>
              </w:rPr>
              <w:t>Autorin</w:t>
            </w:r>
          </w:p>
        </w:tc>
        <w:tc>
          <w:tcPr>
            <w:tcW w:type="dxa" w:w="5669"/>
            <w:tcMar>
              <w:top w:w="90" w:type="dxa"/>
              <w:start w:w="90" w:type="dxa"/>
              <w:bottom w:w="90" w:type="dxa"/>
              <w:end w:w="90" w:type="dxa"/>
            </w:tcMar>
          </w:tcPr>
          <w:p>
            <w:r>
              <w:t>Natalie Weber</w:t>
            </w:r>
          </w:p>
        </w:tc>
      </w:tr>
      <w:tr>
        <w:tc>
          <w:tcPr>
            <w:tcW w:type="dxa" w:w="2268"/>
            <w:shd w:fill="F6F1E8"/>
            <w:tcMar>
              <w:top w:w="90" w:type="dxa"/>
              <w:start w:w="90" w:type="dxa"/>
              <w:bottom w:w="90" w:type="dxa"/>
              <w:end w:w="90" w:type="dxa"/>
            </w:tcMar>
          </w:tcPr>
          <w:p>
            <w:r>
              <w:rPr>
                <w:b/>
                <w:color w:val="0B1020"/>
              </w:rPr>
              <w:t>Referenz</w:t>
            </w:r>
          </w:p>
        </w:tc>
        <w:tc>
          <w:tcPr>
            <w:tcW w:type="dxa" w:w="5669"/>
            <w:tcMar>
              <w:top w:w="90" w:type="dxa"/>
              <w:start w:w="90" w:type="dxa"/>
              <w:bottom w:w="90" w:type="dxa"/>
              <w:end w:w="90" w:type="dxa"/>
            </w:tcMar>
          </w:tcPr>
          <w:p>
            <w:r>
              <w:t>Wirkungsökonomie</w:t>
            </w:r>
          </w:p>
        </w:tc>
      </w:tr>
      <w:tr>
        <w:tc>
          <w:tcPr>
            <w:tcW w:type="dxa" w:w="2268"/>
            <w:shd w:fill="F6F1E8"/>
            <w:tcMar>
              <w:top w:w="90" w:type="dxa"/>
              <w:start w:w="90" w:type="dxa"/>
              <w:bottom w:w="90" w:type="dxa"/>
              <w:end w:w="90" w:type="dxa"/>
            </w:tcMar>
          </w:tcPr>
          <w:p>
            <w:r>
              <w:rPr>
                <w:b/>
                <w:color w:val="0B1020"/>
              </w:rPr>
              <w:t>Version</w:t>
            </w:r>
          </w:p>
        </w:tc>
        <w:tc>
          <w:tcPr>
            <w:tcW w:type="dxa" w:w="5669"/>
            <w:tcMar>
              <w:top w:w="90" w:type="dxa"/>
              <w:start w:w="90" w:type="dxa"/>
              <w:bottom w:w="90" w:type="dxa"/>
              <w:end w:w="90" w:type="dxa"/>
            </w:tcMar>
          </w:tcPr>
          <w:p>
            <w:r>
              <w:t>v1.0</w:t>
            </w:r>
          </w:p>
        </w:tc>
      </w:tr>
      <w:tr>
        <w:tc>
          <w:tcPr>
            <w:tcW w:type="dxa" w:w="2268"/>
            <w:shd w:fill="F6F1E8"/>
            <w:tcMar>
              <w:top w:w="90" w:type="dxa"/>
              <w:start w:w="90" w:type="dxa"/>
              <w:bottom w:w="90" w:type="dxa"/>
              <w:end w:w="90" w:type="dxa"/>
            </w:tcMar>
          </w:tcPr>
          <w:p>
            <w:r>
              <w:rPr>
                <w:b/>
                <w:color w:val="0B1020"/>
              </w:rPr>
              <w:t>Status</w:t>
            </w:r>
          </w:p>
        </w:tc>
        <w:tc>
          <w:tcPr>
            <w:tcW w:type="dxa" w:w="5669"/>
            <w:tcMar>
              <w:top w:w="90" w:type="dxa"/>
              <w:start w:w="90" w:type="dxa"/>
              <w:bottom w:w="90" w:type="dxa"/>
              <w:end w:w="90" w:type="dxa"/>
            </w:tcMar>
          </w:tcPr>
          <w:p>
            <w:r>
              <w:t>öffentliche Ausarbeitung / Detailkonzept</w:t>
            </w:r>
          </w:p>
        </w:tc>
      </w:tr>
      <w:tr>
        <w:tc>
          <w:tcPr>
            <w:tcW w:type="dxa" w:w="2268"/>
            <w:shd w:fill="F6F1E8"/>
            <w:tcMar>
              <w:top w:w="90" w:type="dxa"/>
              <w:start w:w="90" w:type="dxa"/>
              <w:bottom w:w="90" w:type="dxa"/>
              <w:end w:w="90" w:type="dxa"/>
            </w:tcMar>
          </w:tcPr>
          <w:p>
            <w:r>
              <w:rPr>
                <w:b/>
                <w:color w:val="0B1020"/>
              </w:rPr>
              <w:t>Stand</w:t>
            </w:r>
          </w:p>
        </w:tc>
        <w:tc>
          <w:tcPr>
            <w:tcW w:type="dxa" w:w="5669"/>
            <w:tcMar>
              <w:top w:w="90" w:type="dxa"/>
              <w:start w:w="90" w:type="dxa"/>
              <w:bottom w:w="90" w:type="dxa"/>
              <w:end w:w="90" w:type="dxa"/>
            </w:tcMar>
          </w:tcPr>
          <w:p>
            <w:r>
              <w:t>24. Mai 2026</w:t>
            </w:r>
          </w:p>
        </w:tc>
      </w:tr>
    </w:tbl>
    <w:p/>
    <w:p>
      <w:pPr>
        <w:jc w:val="center"/>
      </w:pPr>
      <w:r>
        <w:rPr>
          <w:rFonts w:ascii="Georgia" w:hAnsi="Georgia"/>
          <w:i/>
          <w:color w:val="2F7D5C"/>
          <w:sz w:val="32"/>
        </w:rPr>
        <w:t>„Transformation gelingt nicht durch Schock, sondern durch lernfähige Rückkopplung.“</w:t>
      </w:r>
    </w:p>
    <w:p>
      <w:r>
        <w:br w:type="page"/>
      </w:r>
    </w:p>
    <w:p>
      <w:pPr>
        <w:pStyle w:val="Heading1"/>
      </w:pPr>
      <w:r>
        <w:t>Kurzprofil</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Metadatum</w:t>
            </w:r>
          </w:p>
        </w:tc>
        <w:tc>
          <w:tcPr>
            <w:tcW w:type="dxa" w:w="6236"/>
            <w:shd w:fill="0B1020"/>
            <w:tcMar>
              <w:top w:w="90" w:type="dxa"/>
              <w:start w:w="90" w:type="dxa"/>
              <w:bottom w:w="90" w:type="dxa"/>
              <w:end w:w="90" w:type="dxa"/>
            </w:tcMar>
          </w:tcPr>
          <w:p>
            <w:r>
              <w:rPr>
                <w:b/>
                <w:color w:val="FFFFFF"/>
              </w:rPr>
              <w:t>Angabe</w:t>
            </w:r>
          </w:p>
        </w:tc>
      </w:tr>
      <w:tr>
        <w:tc>
          <w:tcPr>
            <w:tcW w:type="dxa" w:w="2835"/>
            <w:tcMar>
              <w:top w:w="80" w:type="dxa"/>
              <w:start w:w="90" w:type="dxa"/>
              <w:bottom w:w="80" w:type="dxa"/>
              <w:end w:w="90" w:type="dxa"/>
            </w:tcMar>
            <w:shd w:fill="FBF8F1"/>
          </w:tcPr>
          <w:p>
            <w:r>
              <w:rPr>
                <w:b/>
                <w:color w:val="0B1020"/>
              </w:rPr>
              <w:t>Dokumenttyp</w:t>
            </w:r>
          </w:p>
        </w:tc>
        <w:tc>
          <w:tcPr>
            <w:tcW w:type="dxa" w:w="6236"/>
            <w:tcMar>
              <w:top w:w="80" w:type="dxa"/>
              <w:start w:w="90" w:type="dxa"/>
              <w:bottom w:w="80" w:type="dxa"/>
              <w:end w:w="90" w:type="dxa"/>
            </w:tcMar>
          </w:tcPr>
          <w:p>
            <w:r>
              <w:t>Öffentliches Detailkonzept</w:t>
            </w:r>
          </w:p>
        </w:tc>
      </w:tr>
      <w:tr>
        <w:tc>
          <w:tcPr>
            <w:tcW w:type="dxa" w:w="2835"/>
            <w:tcMar>
              <w:top w:w="80" w:type="dxa"/>
              <w:start w:w="90" w:type="dxa"/>
              <w:bottom w:w="80" w:type="dxa"/>
              <w:end w:w="90" w:type="dxa"/>
            </w:tcMar>
            <w:shd w:fill="FBF8F1"/>
          </w:tcPr>
          <w:p>
            <w:r>
              <w:rPr>
                <w:b/>
                <w:color w:val="0B1020"/>
              </w:rPr>
              <w:t>Zugehöriges Portal</w:t>
            </w:r>
          </w:p>
        </w:tc>
        <w:tc>
          <w:tcPr>
            <w:tcW w:type="dxa" w:w="6236"/>
            <w:tcMar>
              <w:top w:w="80" w:type="dxa"/>
              <w:start w:w="90" w:type="dxa"/>
              <w:bottom w:w="80" w:type="dxa"/>
              <w:end w:w="90" w:type="dxa"/>
            </w:tcMar>
          </w:tcPr>
          <w:p>
            <w:r>
              <w:t>Wirtschaft &amp; Unternehmen</w:t>
            </w:r>
          </w:p>
        </w:tc>
      </w:tr>
      <w:tr>
        <w:tc>
          <w:tcPr>
            <w:tcW w:type="dxa" w:w="2835"/>
            <w:tcMar>
              <w:top w:w="80" w:type="dxa"/>
              <w:start w:w="90" w:type="dxa"/>
              <w:bottom w:w="80" w:type="dxa"/>
              <w:end w:w="90" w:type="dxa"/>
            </w:tcMar>
            <w:shd w:fill="FBF8F1"/>
          </w:tcPr>
          <w:p>
            <w:r>
              <w:rPr>
                <w:b/>
                <w:color w:val="0B1020"/>
              </w:rPr>
              <w:t>Unterbereich</w:t>
            </w:r>
          </w:p>
        </w:tc>
        <w:tc>
          <w:tcPr>
            <w:tcW w:type="dxa" w:w="6236"/>
            <w:tcMar>
              <w:top w:w="80" w:type="dxa"/>
              <w:start w:w="90" w:type="dxa"/>
              <w:bottom w:w="80" w:type="dxa"/>
              <w:end w:w="90" w:type="dxa"/>
            </w:tcMar>
          </w:tcPr>
          <w:p>
            <w:r>
              <w:t>Transformation, KMU-Tauglichkeit, Übergangslogik, Pilotierung und Umsetzungspfade</w:t>
            </w:r>
          </w:p>
        </w:tc>
      </w:tr>
      <w:tr>
        <w:tc>
          <w:tcPr>
            <w:tcW w:type="dxa" w:w="2835"/>
            <w:tcMar>
              <w:top w:w="80" w:type="dxa"/>
              <w:start w:w="90" w:type="dxa"/>
              <w:bottom w:w="80" w:type="dxa"/>
              <w:end w:w="90" w:type="dxa"/>
            </w:tcMar>
            <w:shd w:fill="FBF8F1"/>
          </w:tcPr>
          <w:p>
            <w:r>
              <w:rPr>
                <w:b/>
                <w:color w:val="0B1020"/>
              </w:rPr>
              <w:t>Autorin</w:t>
            </w:r>
          </w:p>
        </w:tc>
        <w:tc>
          <w:tcPr>
            <w:tcW w:type="dxa" w:w="6236"/>
            <w:tcMar>
              <w:top w:w="80" w:type="dxa"/>
              <w:start w:w="90" w:type="dxa"/>
              <w:bottom w:w="80" w:type="dxa"/>
              <w:end w:w="90" w:type="dxa"/>
            </w:tcMar>
          </w:tcPr>
          <w:p>
            <w:r>
              <w:t>Natalie Weber · Wirkungsökonomie</w:t>
            </w:r>
          </w:p>
        </w:tc>
      </w:tr>
      <w:tr>
        <w:tc>
          <w:tcPr>
            <w:tcW w:type="dxa" w:w="2835"/>
            <w:tcMar>
              <w:top w:w="80" w:type="dxa"/>
              <w:start w:w="90" w:type="dxa"/>
              <w:bottom w:w="80" w:type="dxa"/>
              <w:end w:w="90" w:type="dxa"/>
            </w:tcMar>
            <w:shd w:fill="FBF8F1"/>
          </w:tcPr>
          <w:p>
            <w:r>
              <w:rPr>
                <w:b/>
                <w:color w:val="0B1020"/>
              </w:rPr>
              <w:t>Öffentlichkeit</w:t>
            </w:r>
          </w:p>
        </w:tc>
        <w:tc>
          <w:tcPr>
            <w:tcW w:type="dxa" w:w="6236"/>
            <w:tcMar>
              <w:top w:w="80" w:type="dxa"/>
              <w:start w:w="90" w:type="dxa"/>
              <w:bottom w:w="80" w:type="dxa"/>
              <w:end w:w="90" w:type="dxa"/>
            </w:tcMar>
          </w:tcPr>
          <w:p>
            <w:r>
              <w:t>Enthält keine internen CodeX-/Repository-Anweisungen</w:t>
            </w:r>
          </w:p>
        </w:tc>
      </w:tr>
      <w:tr>
        <w:tc>
          <w:tcPr>
            <w:tcW w:type="dxa" w:w="2835"/>
            <w:tcMar>
              <w:top w:w="80" w:type="dxa"/>
              <w:start w:w="90" w:type="dxa"/>
              <w:bottom w:w="80" w:type="dxa"/>
              <w:end w:w="90" w:type="dxa"/>
            </w:tcMar>
            <w:shd w:fill="FBF8F1"/>
          </w:tcPr>
          <w:p>
            <w:r>
              <w:rPr>
                <w:b/>
                <w:color w:val="0B1020"/>
              </w:rPr>
              <w:t>Hinweis</w:t>
            </w:r>
          </w:p>
        </w:tc>
        <w:tc>
          <w:tcPr>
            <w:tcW w:type="dxa" w:w="6236"/>
            <w:tcMar>
              <w:top w:w="80" w:type="dxa"/>
              <w:start w:w="90" w:type="dxa"/>
              <w:bottom w:w="80" w:type="dxa"/>
              <w:end w:w="90" w:type="dxa"/>
            </w:tcMar>
          </w:tcPr>
          <w:p>
            <w:r>
              <w:t>Konzeptionelle Arbeitsfassung; keine Rechts-, Steuer-, Anlage-, Marketing- oder Unternehmensberatung.</w:t>
            </w:r>
          </w:p>
        </w:tc>
      </w:tr>
    </w:tbl>
    <w:p/>
    <w:p>
      <w:pPr>
        <w:pStyle w:val="Heading1"/>
      </w:pPr>
      <w:r>
        <w:t>Inhaltsübersicht</w:t>
      </w:r>
    </w:p>
    <w:p>
      <w:r>
        <w:rPr>
          <w:rFonts w:ascii="Arial" w:hAnsi="Arial"/>
          <w:color w:val="4B4F56"/>
          <w:sz w:val="18"/>
        </w:rPr>
        <w:t>1. Executive Summary</w:t>
      </w:r>
    </w:p>
    <w:p>
      <w:r>
        <w:rPr>
          <w:rFonts w:ascii="Arial" w:hAnsi="Arial"/>
          <w:color w:val="4B4F56"/>
          <w:sz w:val="18"/>
        </w:rPr>
        <w:t>2. Ausgangsdiagnose: Zwischen Regulierungsdruck und Transformationsnotwendigkeit</w:t>
      </w:r>
    </w:p>
    <w:p>
      <w:r>
        <w:rPr>
          <w:rFonts w:ascii="Arial" w:hAnsi="Arial"/>
          <w:color w:val="4B4F56"/>
          <w:sz w:val="18"/>
        </w:rPr>
        <w:t>3. Begriffsabgrenzung: Transformation, Übergang und Konversion</w:t>
      </w:r>
    </w:p>
    <w:p>
      <w:r>
        <w:rPr>
          <w:rFonts w:ascii="Arial" w:hAnsi="Arial"/>
          <w:color w:val="4B4F56"/>
          <w:sz w:val="18"/>
        </w:rPr>
        <w:t>4. Zielbild: Das lernende Unternehmen im Wirkungsrahmen</w:t>
      </w:r>
    </w:p>
    <w:p>
      <w:r>
        <w:rPr>
          <w:rFonts w:ascii="Arial" w:hAnsi="Arial"/>
          <w:color w:val="4B4F56"/>
          <w:sz w:val="18"/>
        </w:rPr>
        <w:t>5. KMU-Tauglichkeit: Entlastung durch Standardisierung statt Sonderchaos</w:t>
      </w:r>
    </w:p>
    <w:p>
      <w:r>
        <w:rPr>
          <w:rFonts w:ascii="Arial" w:hAnsi="Arial"/>
          <w:color w:val="4B4F56"/>
          <w:sz w:val="18"/>
        </w:rPr>
        <w:t>6. Transformationspfade für Geschäftsmodelle</w:t>
      </w:r>
    </w:p>
    <w:p>
      <w:r>
        <w:rPr>
          <w:rFonts w:ascii="Arial" w:hAnsi="Arial"/>
          <w:color w:val="4B4F56"/>
          <w:sz w:val="18"/>
        </w:rPr>
        <w:t>7. Organisation, Führung und Mitarbeitende im Übergang</w:t>
      </w:r>
    </w:p>
    <w:p>
      <w:r>
        <w:rPr>
          <w:rFonts w:ascii="Arial" w:hAnsi="Arial"/>
          <w:color w:val="4B4F56"/>
          <w:sz w:val="18"/>
        </w:rPr>
        <w:t>8. Finanzierung des Übergangs</w:t>
      </w:r>
    </w:p>
    <w:p>
      <w:r>
        <w:rPr>
          <w:rFonts w:ascii="Arial" w:hAnsi="Arial"/>
          <w:color w:val="4B4F56"/>
          <w:sz w:val="18"/>
        </w:rPr>
        <w:t>9. Daten, Tools und Umsetzungsschritte</w:t>
      </w:r>
    </w:p>
    <w:p>
      <w:r>
        <w:rPr>
          <w:rFonts w:ascii="Arial" w:hAnsi="Arial"/>
          <w:color w:val="4B4F56"/>
          <w:sz w:val="18"/>
        </w:rPr>
        <w:t>10. Praxisbeispiele und Szenarien</w:t>
      </w:r>
    </w:p>
    <w:p>
      <w:r>
        <w:rPr>
          <w:rFonts w:ascii="Arial" w:hAnsi="Arial"/>
          <w:color w:val="4B4F56"/>
          <w:sz w:val="18"/>
        </w:rPr>
        <w:t>11. Tool- und Rechnerbezug</w:t>
      </w:r>
    </w:p>
    <w:p>
      <w:r>
        <w:rPr>
          <w:rFonts w:ascii="Arial" w:hAnsi="Arial"/>
          <w:color w:val="4B4F56"/>
          <w:sz w:val="18"/>
        </w:rPr>
        <w:t>12. SDG-/SDG+-Bezug</w:t>
      </w:r>
    </w:p>
    <w:p>
      <w:r>
        <w:rPr>
          <w:rFonts w:ascii="Arial" w:hAnsi="Arial"/>
          <w:color w:val="4B4F56"/>
          <w:sz w:val="18"/>
        </w:rPr>
        <w:t>13. Politische Anschlussfähigkeit und Umsetzungsoptionen</w:t>
      </w:r>
    </w:p>
    <w:p>
      <w:r>
        <w:rPr>
          <w:rFonts w:ascii="Arial" w:hAnsi="Arial"/>
          <w:color w:val="4B4F56"/>
          <w:sz w:val="18"/>
        </w:rPr>
        <w:t>14. Website- und Portalintegration</w:t>
      </w:r>
    </w:p>
    <w:p>
      <w:r>
        <w:rPr>
          <w:rFonts w:ascii="Arial" w:hAnsi="Arial"/>
          <w:color w:val="4B4F56"/>
          <w:sz w:val="18"/>
        </w:rPr>
        <w:t>15. Fazit</w:t>
      </w:r>
    </w:p>
    <w:p>
      <w:r>
        <w:br w:type="page"/>
      </w:r>
    </w:p>
    <w:p>
      <w:pPr>
        <w:pStyle w:val="Heading1"/>
      </w:pPr>
      <w:r>
        <w:t>Executive Summary</w:t>
      </w:r>
    </w:p>
    <w:p>
      <w:r>
        <w:rPr>
          <w:rFonts w:ascii="Arial" w:hAnsi="Arial"/>
          <w:color w:val="4B4F56"/>
          <w:sz w:val="19"/>
        </w:rPr>
        <w:t>Die Wirkungsökonomie darf nicht als weiterer Pflichtenkatalog verstanden werden, der Unternehmen überfordert. Sie ist eine neue Steuerungslogik, die schrittweise eingeführt werden muss: von der Sichtbarkeit der Wirkung über vereinfachte Scorecards, Pilotbereiche, Datenreife, Investitionspfade, Anreizsysteme und politische Übergangsregeln bis zur vollen Rückkopplung in Preise, Steuern und Kapital.</w:t>
      </w:r>
    </w:p>
    <w:p>
      <w:r>
        <w:rPr>
          <w:rFonts w:ascii="Arial" w:hAnsi="Arial"/>
          <w:color w:val="4B4F56"/>
          <w:sz w:val="19"/>
        </w:rPr>
        <w:t>Dieses Detailkonzept beschreibt, wie Unternehmen - insbesondere KMU - den Übergang praktisch bewältigen können. Es unterscheidet zwischen Konzernen mit Berichtssystemen, mittelständischen Unternehmen mit indirekten Anforderungen und kleinen Betrieben, die einfache, praxistaugliche Werkzeuge brauchen.</w:t>
      </w:r>
    </w:p>
    <w:p>
      <w:r>
        <w:rPr>
          <w:rFonts w:ascii="Arial" w:hAnsi="Arial"/>
          <w:color w:val="4B4F56"/>
          <w:sz w:val="19"/>
        </w:rPr>
        <w:t>Transformation bedeutet nicht, ein bestehendes Unternehmen moralisch zu verurteilen. Sie bedeutet, Geschäftsmodelle, Produkte, Daten, Lieferketten, Führung und Finanzierung so weiterzuentwickeln, dass positive Netto-Wirkung wahrscheinlicher und negative Wirkung weniger rentabel wird.</w:t>
      </w:r>
    </w:p>
    <w:tbl>
      <w:tblPr>
        <w:tblW w:type="auto" w:w="0"/>
        <w:jc w:val="center"/>
        <w:tblLook w:firstColumn="1" w:firstRow="1" w:lastColumn="0" w:lastRow="0" w:noHBand="0" w:noVBand="1" w:val="04A0"/>
        <w:tblBorders>
          <w:top w:val="single" w:sz="6" w:space="0" w:color="E6DFD4"/>
          <w:left w:val="single" w:sz="6" w:space="0" w:color="E6DFD4"/>
          <w:bottom w:val="single" w:sz="6" w:space="0" w:color="E6DFD4"/>
          <w:right w:val="single" w:sz="6" w:space="0" w:color="E6DFD4"/>
          <w:insideH w:val="single" w:sz="6" w:space="0" w:color="E6DFD4"/>
          <w:insideV w:val="single" w:sz="6" w:space="0" w:color="E6DFD4"/>
        </w:tblBorders>
      </w:tblPr>
      <w:tblGrid>
        <w:gridCol w:w="9809"/>
      </w:tblGrid>
      <w:tr>
        <w:tc>
          <w:tcPr>
            <w:tcW w:type="dxa" w:w="9809"/>
            <w:shd w:fill="FBF8F1"/>
            <w:tcMar>
              <w:top w:w="180" w:type="dxa"/>
              <w:start w:w="200" w:type="dxa"/>
              <w:bottom w:w="180" w:type="dxa"/>
              <w:end w:w="200" w:type="dxa"/>
            </w:tcMar>
          </w:tcPr>
          <w:p>
            <w:r>
              <w:rPr>
                <w:rFonts w:ascii="Arial" w:hAnsi="Arial"/>
                <w:b/>
                <w:color w:val="C89B3C"/>
                <w:sz w:val="16"/>
              </w:rPr>
              <w:t>KERNSATZ</w:t>
            </w:r>
          </w:p>
          <w:p>
            <w:r>
              <w:rPr>
                <w:rFonts w:ascii="Georgia" w:hAnsi="Georgia"/>
                <w:b/>
                <w:color w:val="0B1020"/>
                <w:sz w:val="26"/>
              </w:rPr>
              <w:t>Die WÖk braucht Übergangspfade, weil ein richtiger Maßstab nur dann wirkt, wenn Unternehmen ihn praktisch erreichen können.</w:t>
            </w:r>
          </w:p>
        </w:tc>
      </w:tr>
    </w:tbl>
    <w:p/>
    <w:p>
      <w:pPr>
        <w:pStyle w:val="Heading1"/>
      </w:pPr>
      <w:r>
        <w:t>Ausgangsdiagnose: Zwischen Regulierungsdruck und Transformationsnotwendigkeit</w:t>
      </w:r>
    </w:p>
    <w:p>
      <w:r>
        <w:rPr>
          <w:rFonts w:ascii="Arial" w:hAnsi="Arial"/>
          <w:color w:val="4B4F56"/>
          <w:sz w:val="19"/>
        </w:rPr>
        <w:t>Unternehmen stehen heute zwischen mehreren Kräften: Kund:innen erwarten Verantwortung, Banken fragen ESG-Risiken ab, größere Abnehmer verlangen Lieferkettendaten, Versicherungen betrachten Klimarisiken, Fachkräfte achten auf Sinn und Arbeitsbedingungen, und Regulatorik verlangt mehr Transparenz. Gleichzeitig empfinden viele Unternehmen diese Entwicklung als Bürokratie, Kostenblock und Unsicherheitsquelle.</w:t>
      </w:r>
    </w:p>
    <w:p>
      <w:r>
        <w:rPr>
          <w:rFonts w:ascii="Arial" w:hAnsi="Arial"/>
          <w:color w:val="4B4F56"/>
          <w:sz w:val="19"/>
        </w:rPr>
        <w:t>Die Wirkungsökonomie nimmt diese Spannung ernst. Sie sagt nicht: Noch mehr Pflichten lösen alles. Sie fragt: Wie kann aus fragmentierten Anforderungen eine verständliche, nutzbare und wirtschaftlich sinnvolle Wirkungsarchitektur werden?</w:t>
      </w:r>
    </w:p>
    <w:p>
      <w:r>
        <w:rPr>
          <w:rFonts w:ascii="Arial" w:hAnsi="Arial"/>
          <w:color w:val="4B4F56"/>
          <w:sz w:val="19"/>
        </w:rPr>
        <w:t>Gerade KMU brauchen Schutz vor Überforderung. Sie haben nicht die Ressourcen großer Konzerne, aber sie sind Teil von Lieferketten, Kreditbeziehungen und regionalen Wirkungsräumen. Deshalb müssen Übergangspfade einfacher, standardisierter und beratungsfähiger sein.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3969"/>
            <w:shd w:fill="0B1020"/>
            <w:tcMar>
              <w:top w:w="90" w:type="dxa"/>
              <w:start w:w="90" w:type="dxa"/>
              <w:bottom w:w="90" w:type="dxa"/>
              <w:end w:w="90" w:type="dxa"/>
            </w:tcMar>
          </w:tcPr>
          <w:p>
            <w:r>
              <w:rPr>
                <w:b/>
                <w:color w:val="FFFFFF"/>
              </w:rPr>
              <w:t>Problem heute</w:t>
            </w:r>
          </w:p>
        </w:tc>
        <w:tc>
          <w:tcPr>
            <w:tcW w:type="dxa" w:w="5102"/>
            <w:shd w:fill="0B1020"/>
            <w:tcMar>
              <w:top w:w="90" w:type="dxa"/>
              <w:start w:w="90" w:type="dxa"/>
              <w:bottom w:w="90" w:type="dxa"/>
              <w:end w:w="90" w:type="dxa"/>
            </w:tcMar>
          </w:tcPr>
          <w:p>
            <w:r>
              <w:rPr>
                <w:b/>
                <w:color w:val="FFFFFF"/>
              </w:rPr>
              <w:t>Wirkungsökonomische Antwort</w:t>
            </w:r>
          </w:p>
        </w:tc>
      </w:tr>
      <w:tr>
        <w:tc>
          <w:tcPr>
            <w:tcW w:type="dxa" w:w="3969"/>
            <w:tcMar>
              <w:top w:w="80" w:type="dxa"/>
              <w:start w:w="90" w:type="dxa"/>
              <w:bottom w:w="80" w:type="dxa"/>
              <w:end w:w="90" w:type="dxa"/>
            </w:tcMar>
            <w:shd w:fill="FBF8F1"/>
          </w:tcPr>
          <w:p>
            <w:r>
              <w:rPr>
                <w:b/>
                <w:color w:val="0B1020"/>
              </w:rPr>
              <w:t>Viele Einzelabfragen von Banken, Kunden, Versicherungen</w:t>
            </w:r>
          </w:p>
        </w:tc>
        <w:tc>
          <w:tcPr>
            <w:tcW w:type="dxa" w:w="5102"/>
            <w:tcMar>
              <w:top w:w="80" w:type="dxa"/>
              <w:start w:w="90" w:type="dxa"/>
              <w:bottom w:w="80" w:type="dxa"/>
              <w:end w:w="90" w:type="dxa"/>
            </w:tcMar>
          </w:tcPr>
          <w:p>
            <w:r>
              <w:t>standardisiertes KMU-Wirkungsprofil</w:t>
            </w:r>
          </w:p>
        </w:tc>
      </w:tr>
      <w:tr>
        <w:tc>
          <w:tcPr>
            <w:tcW w:type="dxa" w:w="3969"/>
            <w:tcMar>
              <w:top w:w="80" w:type="dxa"/>
              <w:start w:w="90" w:type="dxa"/>
              <w:bottom w:w="80" w:type="dxa"/>
              <w:end w:w="90" w:type="dxa"/>
            </w:tcMar>
            <w:shd w:fill="FBF8F1"/>
          </w:tcPr>
          <w:p>
            <w:r>
              <w:rPr>
                <w:b/>
                <w:color w:val="0B1020"/>
              </w:rPr>
              <w:t>Reporting ohne Steuerung</w:t>
            </w:r>
          </w:p>
        </w:tc>
        <w:tc>
          <w:tcPr>
            <w:tcW w:type="dxa" w:w="5102"/>
            <w:tcMar>
              <w:top w:w="80" w:type="dxa"/>
              <w:start w:w="90" w:type="dxa"/>
              <w:bottom w:w="80" w:type="dxa"/>
              <w:end w:w="90" w:type="dxa"/>
            </w:tcMar>
          </w:tcPr>
          <w:p>
            <w:r>
              <w:t>Daten direkt in Entscheidungen, Einkauf und Finanzierung nutzen</w:t>
            </w:r>
          </w:p>
        </w:tc>
      </w:tr>
      <w:tr>
        <w:tc>
          <w:tcPr>
            <w:tcW w:type="dxa" w:w="3969"/>
            <w:tcMar>
              <w:top w:w="80" w:type="dxa"/>
              <w:start w:w="90" w:type="dxa"/>
              <w:bottom w:w="80" w:type="dxa"/>
              <w:end w:w="90" w:type="dxa"/>
            </w:tcMar>
            <w:shd w:fill="FBF8F1"/>
          </w:tcPr>
          <w:p>
            <w:r>
              <w:rPr>
                <w:b/>
                <w:color w:val="0B1020"/>
              </w:rPr>
              <w:t>Angst vor Bürokratie</w:t>
            </w:r>
          </w:p>
        </w:tc>
        <w:tc>
          <w:tcPr>
            <w:tcW w:type="dxa" w:w="5102"/>
            <w:tcMar>
              <w:top w:w="80" w:type="dxa"/>
              <w:start w:w="90" w:type="dxa"/>
              <w:bottom w:w="80" w:type="dxa"/>
              <w:end w:w="90" w:type="dxa"/>
            </w:tcMar>
          </w:tcPr>
          <w:p>
            <w:r>
              <w:t>Stufenmodell, Branchenprofile, Pilotierung, digitale Vorlagen</w:t>
            </w:r>
          </w:p>
        </w:tc>
      </w:tr>
      <w:tr>
        <w:tc>
          <w:tcPr>
            <w:tcW w:type="dxa" w:w="3969"/>
            <w:tcMar>
              <w:top w:w="80" w:type="dxa"/>
              <w:start w:w="90" w:type="dxa"/>
              <w:bottom w:w="80" w:type="dxa"/>
              <w:end w:w="90" w:type="dxa"/>
            </w:tcMar>
            <w:shd w:fill="FBF8F1"/>
          </w:tcPr>
          <w:p>
            <w:r>
              <w:rPr>
                <w:b/>
                <w:color w:val="0B1020"/>
              </w:rPr>
              <w:t>Greenwashing-Risiko</w:t>
            </w:r>
          </w:p>
        </w:tc>
        <w:tc>
          <w:tcPr>
            <w:tcW w:type="dxa" w:w="5102"/>
            <w:tcMar>
              <w:top w:w="80" w:type="dxa"/>
              <w:start w:w="90" w:type="dxa"/>
              <w:bottom w:w="80" w:type="dxa"/>
              <w:end w:w="90" w:type="dxa"/>
            </w:tcMar>
          </w:tcPr>
          <w:p>
            <w:r>
              <w:t>Nichtkompensation, Datenqualität, klare Grenzen</w:t>
            </w:r>
          </w:p>
        </w:tc>
      </w:tr>
      <w:tr>
        <w:tc>
          <w:tcPr>
            <w:tcW w:type="dxa" w:w="3969"/>
            <w:tcMar>
              <w:top w:w="80" w:type="dxa"/>
              <w:start w:w="90" w:type="dxa"/>
              <w:bottom w:w="80" w:type="dxa"/>
              <w:end w:w="90" w:type="dxa"/>
            </w:tcMar>
            <w:shd w:fill="FBF8F1"/>
          </w:tcPr>
          <w:p>
            <w:r>
              <w:rPr>
                <w:b/>
                <w:color w:val="0B1020"/>
              </w:rPr>
              <w:t>Transformationskosten</w:t>
            </w:r>
          </w:p>
        </w:tc>
        <w:tc>
          <w:tcPr>
            <w:tcW w:type="dxa" w:w="5102"/>
            <w:tcMar>
              <w:top w:w="80" w:type="dxa"/>
              <w:start w:w="90" w:type="dxa"/>
              <w:bottom w:w="80" w:type="dxa"/>
              <w:end w:w="90" w:type="dxa"/>
            </w:tcMar>
          </w:tcPr>
          <w:p>
            <w:r>
              <w:t>Wirkungsfonds, Wirkungskredite, Übergangsfristen</w:t>
            </w:r>
          </w:p>
        </w:tc>
      </w:tr>
    </w:tbl>
    <w:p/>
    <w:p>
      <w:pPr>
        <w:pStyle w:val="Heading1"/>
      </w:pPr>
      <w:r>
        <w:t>Begriffsabgrenzung: Transformation, Übergang und Konversion</w:t>
      </w:r>
    </w:p>
    <w:p>
      <w:r>
        <w:rPr>
          <w:rFonts w:ascii="Arial" w:hAnsi="Arial"/>
          <w:color w:val="4B4F56"/>
          <w:sz w:val="19"/>
        </w:rPr>
        <w:t>Transformation ist nicht jede Veränderung. Wirkungsökonomisch liegt Transformation vor, wenn ein Unternehmen Pfade, Anreize, Entscheidungsregeln oder Geschäftsmodelle so verändert, dass positive Netto-Wirkung dauerhaft wahrscheinlicher wird. Eine einzelne Effizienzmaßnahme kann wichtig sein, ist aber noch keine Transformation, wenn das destruktive Grundmodell unverändert bleibt.</w:t>
      </w:r>
    </w:p>
    <w:p>
      <w:r>
        <w:rPr>
          <w:rFonts w:ascii="Arial" w:hAnsi="Arial"/>
          <w:color w:val="4B4F56"/>
          <w:sz w:val="19"/>
        </w:rPr>
        <w:t>Übergang bezeichnet die zeitliche und organisatorische Brücke zwischen alter und neuer Logik. Übergänge brauchen Schutz, Prioritäten, Fristen, Lernschleifen und Korrektur. Konversion meint den Umbau von Altvermögen, Altprozessen oder Altprodukten in zukunftsfähige Wirkung.</w:t>
      </w:r>
    </w:p>
    <w:p>
      <w:r>
        <w:rPr>
          <w:rFonts w:ascii="Arial" w:hAnsi="Arial"/>
          <w:color w:val="4B4F56"/>
          <w:sz w:val="19"/>
        </w:rPr>
        <w:t>KMU-Tauglichkeit bedeutet nicht, die Wirkungsanforderung auszusetzen. Sie bedeutet, sie angemessen zu operationalisieren: weniger Indikatoren, klare Branchenbenchmarks, digitale Vorlagen, Förderlotsen, gemeinsame Datenräume und proportionale Nachweise.</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Begriff</w:t>
            </w:r>
          </w:p>
        </w:tc>
        <w:tc>
          <w:tcPr>
            <w:tcW w:type="dxa" w:w="6236"/>
            <w:shd w:fill="0B1020"/>
            <w:tcMar>
              <w:top w:w="90" w:type="dxa"/>
              <w:start w:w="90" w:type="dxa"/>
              <w:bottom w:w="90" w:type="dxa"/>
              <w:end w:w="90" w:type="dxa"/>
            </w:tcMar>
          </w:tcPr>
          <w:p>
            <w:r>
              <w:rPr>
                <w:b/>
                <w:color w:val="FFFFFF"/>
              </w:rPr>
              <w:t>Definition im WÖk-Kontext</w:t>
            </w:r>
          </w:p>
        </w:tc>
      </w:tr>
      <w:tr>
        <w:tc>
          <w:tcPr>
            <w:tcW w:type="dxa" w:w="2835"/>
            <w:tcMar>
              <w:top w:w="80" w:type="dxa"/>
              <w:start w:w="90" w:type="dxa"/>
              <w:bottom w:w="80" w:type="dxa"/>
              <w:end w:w="90" w:type="dxa"/>
            </w:tcMar>
            <w:shd w:fill="FBF8F1"/>
          </w:tcPr>
          <w:p>
            <w:r>
              <w:rPr>
                <w:b/>
                <w:color w:val="0B1020"/>
              </w:rPr>
              <w:t>Transformation</w:t>
            </w:r>
          </w:p>
        </w:tc>
        <w:tc>
          <w:tcPr>
            <w:tcW w:type="dxa" w:w="6236"/>
            <w:tcMar>
              <w:top w:w="80" w:type="dxa"/>
              <w:start w:w="90" w:type="dxa"/>
              <w:bottom w:w="80" w:type="dxa"/>
              <w:end w:w="90" w:type="dxa"/>
            </w:tcMar>
          </w:tcPr>
          <w:p>
            <w:r>
              <w:t>dauerhafte Veränderung von Pfaden, Anreizen und Geschäftsmodellwirkung</w:t>
            </w:r>
          </w:p>
        </w:tc>
      </w:tr>
      <w:tr>
        <w:tc>
          <w:tcPr>
            <w:tcW w:type="dxa" w:w="2835"/>
            <w:tcMar>
              <w:top w:w="80" w:type="dxa"/>
              <w:start w:w="90" w:type="dxa"/>
              <w:bottom w:w="80" w:type="dxa"/>
              <w:end w:w="90" w:type="dxa"/>
            </w:tcMar>
            <w:shd w:fill="FBF8F1"/>
          </w:tcPr>
          <w:p>
            <w:r>
              <w:rPr>
                <w:b/>
                <w:color w:val="0B1020"/>
              </w:rPr>
              <w:t>Übergang</w:t>
            </w:r>
          </w:p>
        </w:tc>
        <w:tc>
          <w:tcPr>
            <w:tcW w:type="dxa" w:w="6236"/>
            <w:tcMar>
              <w:top w:w="80" w:type="dxa"/>
              <w:start w:w="90" w:type="dxa"/>
              <w:bottom w:w="80" w:type="dxa"/>
              <w:end w:w="90" w:type="dxa"/>
            </w:tcMar>
          </w:tcPr>
          <w:p>
            <w:r>
              <w:t>gestufte Einführung mit Schutz, Fristen und Lernschleifen</w:t>
            </w:r>
          </w:p>
        </w:tc>
      </w:tr>
      <w:tr>
        <w:tc>
          <w:tcPr>
            <w:tcW w:type="dxa" w:w="2835"/>
            <w:tcMar>
              <w:top w:w="80" w:type="dxa"/>
              <w:start w:w="90" w:type="dxa"/>
              <w:bottom w:w="80" w:type="dxa"/>
              <w:end w:w="90" w:type="dxa"/>
            </w:tcMar>
            <w:shd w:fill="FBF8F1"/>
          </w:tcPr>
          <w:p>
            <w:r>
              <w:rPr>
                <w:b/>
                <w:color w:val="0B1020"/>
              </w:rPr>
              <w:t>Konversion</w:t>
            </w:r>
          </w:p>
        </w:tc>
        <w:tc>
          <w:tcPr>
            <w:tcW w:type="dxa" w:w="6236"/>
            <w:tcMar>
              <w:top w:w="80" w:type="dxa"/>
              <w:start w:w="90" w:type="dxa"/>
              <w:bottom w:w="80" w:type="dxa"/>
              <w:end w:w="90" w:type="dxa"/>
            </w:tcMar>
          </w:tcPr>
          <w:p>
            <w:r>
              <w:t>Umbau von Altprozessen, Altanlagen oder Altprodukten in wirkungsfähige Alternativen</w:t>
            </w:r>
          </w:p>
        </w:tc>
      </w:tr>
      <w:tr>
        <w:tc>
          <w:tcPr>
            <w:tcW w:type="dxa" w:w="2835"/>
            <w:tcMar>
              <w:top w:w="80" w:type="dxa"/>
              <w:start w:w="90" w:type="dxa"/>
              <w:bottom w:w="80" w:type="dxa"/>
              <w:end w:w="90" w:type="dxa"/>
            </w:tcMar>
            <w:shd w:fill="FBF8F1"/>
          </w:tcPr>
          <w:p>
            <w:r>
              <w:rPr>
                <w:b/>
                <w:color w:val="0B1020"/>
              </w:rPr>
              <w:t>KMU-Tauglichkeit</w:t>
            </w:r>
          </w:p>
        </w:tc>
        <w:tc>
          <w:tcPr>
            <w:tcW w:type="dxa" w:w="6236"/>
            <w:tcMar>
              <w:top w:w="80" w:type="dxa"/>
              <w:start w:w="90" w:type="dxa"/>
              <w:bottom w:w="80" w:type="dxa"/>
              <w:end w:w="90" w:type="dxa"/>
            </w:tcMar>
          </w:tcPr>
          <w:p>
            <w:r>
              <w:t>proportionale Anforderungen mit hoher Praxisnähe und geringem Nachweischaos</w:t>
            </w:r>
          </w:p>
        </w:tc>
      </w:tr>
      <w:tr>
        <w:tc>
          <w:tcPr>
            <w:tcW w:type="dxa" w:w="2835"/>
            <w:tcMar>
              <w:top w:w="80" w:type="dxa"/>
              <w:start w:w="90" w:type="dxa"/>
              <w:bottom w:w="80" w:type="dxa"/>
              <w:end w:w="90" w:type="dxa"/>
            </w:tcMar>
            <w:shd w:fill="FBF8F1"/>
          </w:tcPr>
          <w:p>
            <w:r>
              <w:rPr>
                <w:b/>
                <w:color w:val="0B1020"/>
              </w:rPr>
              <w:t>Pilotierung</w:t>
            </w:r>
          </w:p>
        </w:tc>
        <w:tc>
          <w:tcPr>
            <w:tcW w:type="dxa" w:w="6236"/>
            <w:tcMar>
              <w:top w:w="80" w:type="dxa"/>
              <w:start w:w="90" w:type="dxa"/>
              <w:bottom w:w="80" w:type="dxa"/>
              <w:end w:w="90" w:type="dxa"/>
            </w:tcMar>
          </w:tcPr>
          <w:p>
            <w:r>
              <w:t>begrenzter Test mit Evaluation, Reversibilität und Skalierungslogik</w:t>
            </w:r>
          </w:p>
        </w:tc>
      </w:tr>
    </w:tbl>
    <w:p/>
    <w:p>
      <w:pPr>
        <w:pStyle w:val="Heading1"/>
      </w:pPr>
      <w:r>
        <w:t>Zielbild: Das lernende Unternehmen im Wirkungsrahmen</w:t>
      </w:r>
    </w:p>
    <w:p>
      <w:r>
        <w:rPr>
          <w:rFonts w:ascii="Arial" w:hAnsi="Arial"/>
          <w:color w:val="4B4F56"/>
          <w:sz w:val="19"/>
        </w:rPr>
        <w:t>Das Ziel ist nicht das perfekte Unternehmen, sondern das lernende Unternehmen. Es kennt seine wesentlichen Wirkungen, benennt Datenlücken, priorisiert Hebel, bindet Mitarbeitende ein, verbessert Produkte und Lieferketten, nutzt Finanzierung für Transformation und korrigiert Fehlsteuerungen.</w:t>
      </w:r>
    </w:p>
    <w:p>
      <w:r>
        <w:rPr>
          <w:rFonts w:ascii="Arial" w:hAnsi="Arial"/>
          <w:color w:val="4B4F56"/>
          <w:sz w:val="19"/>
        </w:rPr>
        <w:t>Ein lernendes Unternehmen braucht klare Verantwortlichkeiten: Geschäftsführung, Controlling, Einkauf, Produktentwicklung, HR, IT, Nachhaltigkeit, Vertrieb und Finanzfunktion müssen zusammenarbeiten. Wirkung darf nicht in einer Stabsstelle isoliert bleiben.</w:t>
      </w:r>
    </w:p>
    <w:p>
      <w:r>
        <w:rPr>
          <w:rFonts w:ascii="Arial" w:hAnsi="Arial"/>
          <w:color w:val="4B4F56"/>
          <w:sz w:val="19"/>
        </w:rPr>
        <w:t>Das Zielbild lässt sich als Reifegradmodell beschreiben: Orientierung, Datenbasis, Pilotierung, Integration, Rückkopplung und lernende Skalierung. Jede Stufe hat eigene Anforderungen und darf nicht übersprungen werden.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3270"/>
        <w:gridCol w:w="3270"/>
        <w:gridCol w:w="3270"/>
      </w:tblGrid>
      <w:tr>
        <w:trPr>
          <w:tblHeader w:val="true"/>
        </w:trPr>
        <w:tc>
          <w:tcPr>
            <w:tcW w:type="dxa" w:w="1701"/>
            <w:shd w:fill="0B1020"/>
            <w:tcMar>
              <w:top w:w="90" w:type="dxa"/>
              <w:start w:w="90" w:type="dxa"/>
              <w:bottom w:w="90" w:type="dxa"/>
              <w:end w:w="90" w:type="dxa"/>
            </w:tcMar>
          </w:tcPr>
          <w:p>
            <w:r>
              <w:rPr>
                <w:b/>
                <w:color w:val="FFFFFF"/>
              </w:rPr>
              <w:t>Reifegrad</w:t>
            </w:r>
          </w:p>
        </w:tc>
        <w:tc>
          <w:tcPr>
            <w:tcW w:type="dxa" w:w="3969"/>
            <w:shd w:fill="0B1020"/>
            <w:tcMar>
              <w:top w:w="90" w:type="dxa"/>
              <w:start w:w="90" w:type="dxa"/>
              <w:bottom w:w="90" w:type="dxa"/>
              <w:end w:w="90" w:type="dxa"/>
            </w:tcMar>
          </w:tcPr>
          <w:p>
            <w:r>
              <w:rPr>
                <w:b/>
                <w:color w:val="FFFFFF"/>
              </w:rPr>
              <w:t>Beschreibung</w:t>
            </w:r>
          </w:p>
        </w:tc>
        <w:tc>
          <w:tcPr>
            <w:tcW w:type="dxa" w:w="3402"/>
            <w:shd w:fill="0B1020"/>
            <w:tcMar>
              <w:top w:w="90" w:type="dxa"/>
              <w:start w:w="90" w:type="dxa"/>
              <w:bottom w:w="90" w:type="dxa"/>
              <w:end w:w="90" w:type="dxa"/>
            </w:tcMar>
          </w:tcPr>
          <w:p>
            <w:r>
              <w:rPr>
                <w:b/>
                <w:color w:val="FFFFFF"/>
              </w:rPr>
              <w:t>Typische Aufgabe</w:t>
            </w:r>
          </w:p>
        </w:tc>
      </w:tr>
      <w:tr>
        <w:tc>
          <w:tcPr>
            <w:tcW w:type="dxa" w:w="1701"/>
            <w:tcMar>
              <w:top w:w="80" w:type="dxa"/>
              <w:start w:w="90" w:type="dxa"/>
              <w:bottom w:w="80" w:type="dxa"/>
              <w:end w:w="90" w:type="dxa"/>
            </w:tcMar>
            <w:shd w:fill="FBF8F1"/>
          </w:tcPr>
          <w:p>
            <w:r>
              <w:rPr>
                <w:b/>
                <w:color w:val="0B1020"/>
              </w:rPr>
              <w:t>0 Orientierung</w:t>
            </w:r>
          </w:p>
        </w:tc>
        <w:tc>
          <w:tcPr>
            <w:tcW w:type="dxa" w:w="3969"/>
            <w:tcMar>
              <w:top w:w="80" w:type="dxa"/>
              <w:start w:w="90" w:type="dxa"/>
              <w:bottom w:w="80" w:type="dxa"/>
              <w:end w:w="90" w:type="dxa"/>
            </w:tcMar>
          </w:tcPr>
          <w:p>
            <w:r>
              <w:t>Wirkungslogik verstehen, Verantwortliche benennen</w:t>
            </w:r>
          </w:p>
        </w:tc>
        <w:tc>
          <w:tcPr>
            <w:tcW w:type="dxa" w:w="3402"/>
            <w:tcMar>
              <w:top w:w="80" w:type="dxa"/>
              <w:start w:w="90" w:type="dxa"/>
              <w:bottom w:w="80" w:type="dxa"/>
              <w:end w:w="90" w:type="dxa"/>
            </w:tcMar>
          </w:tcPr>
          <w:p>
            <w:r>
              <w:t>Portaltexte, Schulung, erste Wesentlichkeit</w:t>
            </w:r>
          </w:p>
        </w:tc>
      </w:tr>
      <w:tr>
        <w:tc>
          <w:tcPr>
            <w:tcW w:type="dxa" w:w="1701"/>
            <w:tcMar>
              <w:top w:w="80" w:type="dxa"/>
              <w:start w:w="90" w:type="dxa"/>
              <w:bottom w:w="80" w:type="dxa"/>
              <w:end w:w="90" w:type="dxa"/>
            </w:tcMar>
            <w:shd w:fill="FBF8F1"/>
          </w:tcPr>
          <w:p>
            <w:r>
              <w:rPr>
                <w:b/>
                <w:color w:val="0B1020"/>
              </w:rPr>
              <w:t>1 Sichtbarkeit</w:t>
            </w:r>
          </w:p>
        </w:tc>
        <w:tc>
          <w:tcPr>
            <w:tcW w:type="dxa" w:w="3969"/>
            <w:tcMar>
              <w:top w:w="80" w:type="dxa"/>
              <w:start w:w="90" w:type="dxa"/>
              <w:bottom w:w="80" w:type="dxa"/>
              <w:end w:w="90" w:type="dxa"/>
            </w:tcMar>
          </w:tcPr>
          <w:p>
            <w:r>
              <w:t>Kernwirkungen und Datenquellen erfassen</w:t>
            </w:r>
          </w:p>
        </w:tc>
        <w:tc>
          <w:tcPr>
            <w:tcW w:type="dxa" w:w="3402"/>
            <w:tcMar>
              <w:top w:w="80" w:type="dxa"/>
              <w:start w:w="90" w:type="dxa"/>
              <w:bottom w:w="80" w:type="dxa"/>
              <w:end w:w="90" w:type="dxa"/>
            </w:tcMar>
          </w:tcPr>
          <w:p>
            <w:r>
              <w:t>Kurzscorecards, Datenlücken, Risiken</w:t>
            </w:r>
          </w:p>
        </w:tc>
      </w:tr>
      <w:tr>
        <w:tc>
          <w:tcPr>
            <w:tcW w:type="dxa" w:w="1701"/>
            <w:tcMar>
              <w:top w:w="80" w:type="dxa"/>
              <w:start w:w="90" w:type="dxa"/>
              <w:bottom w:w="80" w:type="dxa"/>
              <w:end w:w="90" w:type="dxa"/>
            </w:tcMar>
            <w:shd w:fill="FBF8F1"/>
          </w:tcPr>
          <w:p>
            <w:r>
              <w:rPr>
                <w:b/>
                <w:color w:val="0B1020"/>
              </w:rPr>
              <w:t>2 Pilotierung</w:t>
            </w:r>
          </w:p>
        </w:tc>
        <w:tc>
          <w:tcPr>
            <w:tcW w:type="dxa" w:w="3969"/>
            <w:tcMar>
              <w:top w:w="80" w:type="dxa"/>
              <w:start w:w="90" w:type="dxa"/>
              <w:bottom w:w="80" w:type="dxa"/>
              <w:end w:w="90" w:type="dxa"/>
            </w:tcMar>
          </w:tcPr>
          <w:p>
            <w:r>
              <w:t>1-2 Produkte, Lieferanten oder Standorte testen</w:t>
            </w:r>
          </w:p>
        </w:tc>
        <w:tc>
          <w:tcPr>
            <w:tcW w:type="dxa" w:w="3402"/>
            <w:tcMar>
              <w:top w:w="80" w:type="dxa"/>
              <w:start w:w="90" w:type="dxa"/>
              <w:bottom w:w="80" w:type="dxa"/>
              <w:end w:w="90" w:type="dxa"/>
            </w:tcMar>
          </w:tcPr>
          <w:p>
            <w:r>
              <w:t>Scorecards, Tools, Feedback</w:t>
            </w:r>
          </w:p>
        </w:tc>
      </w:tr>
      <w:tr>
        <w:tc>
          <w:tcPr>
            <w:tcW w:type="dxa" w:w="1701"/>
            <w:tcMar>
              <w:top w:w="80" w:type="dxa"/>
              <w:start w:w="90" w:type="dxa"/>
              <w:bottom w:w="80" w:type="dxa"/>
              <w:end w:w="90" w:type="dxa"/>
            </w:tcMar>
            <w:shd w:fill="FBF8F1"/>
          </w:tcPr>
          <w:p>
            <w:r>
              <w:rPr>
                <w:b/>
                <w:color w:val="0B1020"/>
              </w:rPr>
              <w:t>3 Integration</w:t>
            </w:r>
          </w:p>
        </w:tc>
        <w:tc>
          <w:tcPr>
            <w:tcW w:type="dxa" w:w="3969"/>
            <w:tcMar>
              <w:top w:w="80" w:type="dxa"/>
              <w:start w:w="90" w:type="dxa"/>
              <w:bottom w:w="80" w:type="dxa"/>
              <w:end w:w="90" w:type="dxa"/>
            </w:tcMar>
          </w:tcPr>
          <w:p>
            <w:r>
              <w:t>Wirkung in Entscheidungen einbauen</w:t>
            </w:r>
          </w:p>
        </w:tc>
        <w:tc>
          <w:tcPr>
            <w:tcW w:type="dxa" w:w="3402"/>
            <w:tcMar>
              <w:top w:w="80" w:type="dxa"/>
              <w:start w:w="90" w:type="dxa"/>
              <w:bottom w:w="80" w:type="dxa"/>
              <w:end w:w="90" w:type="dxa"/>
            </w:tcMar>
          </w:tcPr>
          <w:p>
            <w:r>
              <w:t>CapEx, Einkauf, HR, Marketing, Finanzierung</w:t>
            </w:r>
          </w:p>
        </w:tc>
      </w:tr>
      <w:tr>
        <w:tc>
          <w:tcPr>
            <w:tcW w:type="dxa" w:w="1701"/>
            <w:tcMar>
              <w:top w:w="80" w:type="dxa"/>
              <w:start w:w="90" w:type="dxa"/>
              <w:bottom w:w="80" w:type="dxa"/>
              <w:end w:w="90" w:type="dxa"/>
            </w:tcMar>
            <w:shd w:fill="FBF8F1"/>
          </w:tcPr>
          <w:p>
            <w:r>
              <w:rPr>
                <w:b/>
                <w:color w:val="0B1020"/>
              </w:rPr>
              <w:t>4 Rückkopplung</w:t>
            </w:r>
          </w:p>
        </w:tc>
        <w:tc>
          <w:tcPr>
            <w:tcW w:type="dxa" w:w="3969"/>
            <w:tcMar>
              <w:top w:w="80" w:type="dxa"/>
              <w:start w:w="90" w:type="dxa"/>
              <w:bottom w:w="80" w:type="dxa"/>
              <w:end w:w="90" w:type="dxa"/>
            </w:tcMar>
          </w:tcPr>
          <w:p>
            <w:r>
              <w:t>Wirkung beeinflusst Preise, Steuern, Kapital und Boni</w:t>
            </w:r>
          </w:p>
        </w:tc>
        <w:tc>
          <w:tcPr>
            <w:tcW w:type="dxa" w:w="3402"/>
            <w:tcMar>
              <w:top w:w="80" w:type="dxa"/>
              <w:start w:w="90" w:type="dxa"/>
              <w:bottom w:w="80" w:type="dxa"/>
              <w:end w:w="90" w:type="dxa"/>
            </w:tcMar>
          </w:tcPr>
          <w:p>
            <w:r>
              <w:t>NWI, T-SROI, Wirkungsfonds</w:t>
            </w:r>
          </w:p>
        </w:tc>
      </w:tr>
      <w:tr>
        <w:tc>
          <w:tcPr>
            <w:tcW w:type="dxa" w:w="1701"/>
            <w:tcMar>
              <w:top w:w="80" w:type="dxa"/>
              <w:start w:w="90" w:type="dxa"/>
              <w:bottom w:w="80" w:type="dxa"/>
              <w:end w:w="90" w:type="dxa"/>
            </w:tcMar>
            <w:shd w:fill="FBF8F1"/>
          </w:tcPr>
          <w:p>
            <w:r>
              <w:rPr>
                <w:b/>
                <w:color w:val="0B1020"/>
              </w:rPr>
              <w:t>5 Lernende Skalierung</w:t>
            </w:r>
          </w:p>
        </w:tc>
        <w:tc>
          <w:tcPr>
            <w:tcW w:type="dxa" w:w="3969"/>
            <w:tcMar>
              <w:top w:w="80" w:type="dxa"/>
              <w:start w:w="90" w:type="dxa"/>
              <w:bottom w:w="80" w:type="dxa"/>
              <w:end w:w="90" w:type="dxa"/>
            </w:tcMar>
          </w:tcPr>
          <w:p>
            <w:r>
              <w:t>Regelmäßige Evaluation und Anpassung</w:t>
            </w:r>
          </w:p>
        </w:tc>
        <w:tc>
          <w:tcPr>
            <w:tcW w:type="dxa" w:w="3402"/>
            <w:tcMar>
              <w:top w:w="80" w:type="dxa"/>
              <w:start w:w="90" w:type="dxa"/>
              <w:bottom w:w="80" w:type="dxa"/>
              <w:end w:w="90" w:type="dxa"/>
            </w:tcMar>
          </w:tcPr>
          <w:p>
            <w:r>
              <w:t>Assurance, Wirkungsrat, öffentliche Berichte</w:t>
            </w:r>
          </w:p>
        </w:tc>
      </w:tr>
    </w:tbl>
    <w:p/>
    <w:p>
      <w:pPr>
        <w:pStyle w:val="Heading1"/>
      </w:pPr>
      <w:r>
        <w:t>KMU-Tauglichkeit: Entlastung durch Standardisierung statt Sonderchaos</w:t>
      </w:r>
    </w:p>
    <w:p>
      <w:r>
        <w:rPr>
          <w:rFonts w:ascii="Arial" w:hAnsi="Arial"/>
          <w:color w:val="4B4F56"/>
          <w:sz w:val="19"/>
        </w:rPr>
        <w:t>Viele KMU sind nicht grundsätzlich gegen Verantwortung. Sie sind gegen Nachweischaos. Wenn jeder Konzern, jede Bank, jeder Kunde und jede Plattform andere Formulare verlangt, entsteht Bürokratie ohne Wirkung. Die Wirkungsökonomie muss dieses Problem lösen, nicht verstärken.</w:t>
      </w:r>
    </w:p>
    <w:p>
      <w:r>
        <w:rPr>
          <w:rFonts w:ascii="Arial" w:hAnsi="Arial"/>
          <w:color w:val="4B4F56"/>
          <w:sz w:val="19"/>
        </w:rPr>
        <w:t>Ein KMU-tauglicher Ansatz arbeitet mit wenigen Kernindikatoren, Branchenprofilen, Standardnachweisen, digitalen Produkt- und Lieferantendaten, sicheren Schnittstellen und Beratungsangeboten. Ziel ist: einmal sauber erfassen, mehrfach nutzen.</w:t>
      </w:r>
    </w:p>
    <w:p>
      <w:r>
        <w:rPr>
          <w:rFonts w:ascii="Arial" w:hAnsi="Arial"/>
          <w:color w:val="4B4F56"/>
          <w:sz w:val="19"/>
        </w:rPr>
        <w:t>Für Kleinstunternehmen kann ein vereinfachtes Wirkungsprofil ausreichen. Für mittelständische Unternehmen braucht es mehr Tiefe, aber immer noch weniger Komplexität als bei Konzernen. Für Konzerne gelten tiefere Pflichten, weil sie größere Wirkung, Datenkapazität und Marktmacht haben.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3270"/>
        <w:gridCol w:w="3270"/>
        <w:gridCol w:w="3270"/>
      </w:tblGrid>
      <w:tr>
        <w:trPr>
          <w:tblHeader w:val="true"/>
        </w:trPr>
        <w:tc>
          <w:tcPr>
            <w:tcW w:type="dxa" w:w="2268"/>
            <w:shd w:fill="0B1020"/>
            <w:tcMar>
              <w:top w:w="90" w:type="dxa"/>
              <w:start w:w="90" w:type="dxa"/>
              <w:bottom w:w="90" w:type="dxa"/>
              <w:end w:w="90" w:type="dxa"/>
            </w:tcMar>
          </w:tcPr>
          <w:p>
            <w:r>
              <w:rPr>
                <w:b/>
                <w:color w:val="FFFFFF"/>
              </w:rPr>
              <w:t>Unternehmenstyp</w:t>
            </w:r>
          </w:p>
        </w:tc>
        <w:tc>
          <w:tcPr>
            <w:tcW w:type="dxa" w:w="3969"/>
            <w:shd w:fill="0B1020"/>
            <w:tcMar>
              <w:top w:w="90" w:type="dxa"/>
              <w:start w:w="90" w:type="dxa"/>
              <w:bottom w:w="90" w:type="dxa"/>
              <w:end w:w="90" w:type="dxa"/>
            </w:tcMar>
          </w:tcPr>
          <w:p>
            <w:r>
              <w:rPr>
                <w:b/>
                <w:color w:val="FFFFFF"/>
              </w:rPr>
              <w:t>Anforderung</w:t>
            </w:r>
          </w:p>
        </w:tc>
        <w:tc>
          <w:tcPr>
            <w:tcW w:type="dxa" w:w="2835"/>
            <w:shd w:fill="0B1020"/>
            <w:tcMar>
              <w:top w:w="90" w:type="dxa"/>
              <w:start w:w="90" w:type="dxa"/>
              <w:bottom w:w="90" w:type="dxa"/>
              <w:end w:w="90" w:type="dxa"/>
            </w:tcMar>
          </w:tcPr>
          <w:p>
            <w:r>
              <w:rPr>
                <w:b/>
                <w:color w:val="FFFFFF"/>
              </w:rPr>
              <w:t>Schutzmechanismus</w:t>
            </w:r>
          </w:p>
        </w:tc>
      </w:tr>
      <w:tr>
        <w:tc>
          <w:tcPr>
            <w:tcW w:type="dxa" w:w="2268"/>
            <w:tcMar>
              <w:top w:w="80" w:type="dxa"/>
              <w:start w:w="90" w:type="dxa"/>
              <w:bottom w:w="80" w:type="dxa"/>
              <w:end w:w="90" w:type="dxa"/>
            </w:tcMar>
            <w:shd w:fill="FBF8F1"/>
          </w:tcPr>
          <w:p>
            <w:r>
              <w:rPr>
                <w:b/>
                <w:color w:val="0B1020"/>
              </w:rPr>
              <w:t>Kleinstbetrieb</w:t>
            </w:r>
          </w:p>
        </w:tc>
        <w:tc>
          <w:tcPr>
            <w:tcW w:type="dxa" w:w="3969"/>
            <w:tcMar>
              <w:top w:w="80" w:type="dxa"/>
              <w:start w:w="90" w:type="dxa"/>
              <w:bottom w:w="80" w:type="dxa"/>
              <w:end w:w="90" w:type="dxa"/>
            </w:tcMar>
          </w:tcPr>
          <w:p>
            <w:r>
              <w:t>vereinfachtes Wirkungsprofil, wenige Kernfragen</w:t>
            </w:r>
          </w:p>
        </w:tc>
        <w:tc>
          <w:tcPr>
            <w:tcW w:type="dxa" w:w="2835"/>
            <w:tcMar>
              <w:top w:w="80" w:type="dxa"/>
              <w:start w:w="90" w:type="dxa"/>
              <w:bottom w:w="80" w:type="dxa"/>
              <w:end w:w="90" w:type="dxa"/>
            </w:tcMar>
          </w:tcPr>
          <w:p>
            <w:r>
              <w:t>keine Konzernberichtspflichten, Beratung, Standardtool</w:t>
            </w:r>
          </w:p>
        </w:tc>
      </w:tr>
      <w:tr>
        <w:tc>
          <w:tcPr>
            <w:tcW w:type="dxa" w:w="2268"/>
            <w:tcMar>
              <w:top w:w="80" w:type="dxa"/>
              <w:start w:w="90" w:type="dxa"/>
              <w:bottom w:w="80" w:type="dxa"/>
              <w:end w:w="90" w:type="dxa"/>
            </w:tcMar>
            <w:shd w:fill="FBF8F1"/>
          </w:tcPr>
          <w:p>
            <w:r>
              <w:rPr>
                <w:b/>
                <w:color w:val="0B1020"/>
              </w:rPr>
              <w:t>KMU</w:t>
            </w:r>
          </w:p>
        </w:tc>
        <w:tc>
          <w:tcPr>
            <w:tcW w:type="dxa" w:w="3969"/>
            <w:tcMar>
              <w:top w:w="80" w:type="dxa"/>
              <w:start w:w="90" w:type="dxa"/>
              <w:bottom w:w="80" w:type="dxa"/>
              <w:end w:w="90" w:type="dxa"/>
            </w:tcMar>
          </w:tcPr>
          <w:p>
            <w:r>
              <w:t>Branchen-Scorecard, Lieferantendaten, Bank-/Kundenschnittstelle</w:t>
            </w:r>
          </w:p>
        </w:tc>
        <w:tc>
          <w:tcPr>
            <w:tcW w:type="dxa" w:w="2835"/>
            <w:tcMar>
              <w:top w:w="80" w:type="dxa"/>
              <w:start w:w="90" w:type="dxa"/>
              <w:bottom w:w="80" w:type="dxa"/>
              <w:end w:w="90" w:type="dxa"/>
            </w:tcMar>
          </w:tcPr>
          <w:p>
            <w:r>
              <w:t>Datenwiederverwendung, Förderlotsen</w:t>
            </w:r>
          </w:p>
        </w:tc>
      </w:tr>
      <w:tr>
        <w:tc>
          <w:tcPr>
            <w:tcW w:type="dxa" w:w="2268"/>
            <w:tcMar>
              <w:top w:w="80" w:type="dxa"/>
              <w:start w:w="90" w:type="dxa"/>
              <w:bottom w:w="80" w:type="dxa"/>
              <w:end w:w="90" w:type="dxa"/>
            </w:tcMar>
            <w:shd w:fill="FBF8F1"/>
          </w:tcPr>
          <w:p>
            <w:r>
              <w:rPr>
                <w:b/>
                <w:color w:val="0B1020"/>
              </w:rPr>
              <w:t>Mittelstand</w:t>
            </w:r>
          </w:p>
        </w:tc>
        <w:tc>
          <w:tcPr>
            <w:tcW w:type="dxa" w:w="3969"/>
            <w:tcMar>
              <w:top w:w="80" w:type="dxa"/>
              <w:start w:w="90" w:type="dxa"/>
              <w:bottom w:w="80" w:type="dxa"/>
              <w:end w:w="90" w:type="dxa"/>
            </w:tcMar>
          </w:tcPr>
          <w:p>
            <w:r>
              <w:t>Wirkungscontrolling light, CapEx-Check, Lieferkettenprofil</w:t>
            </w:r>
          </w:p>
        </w:tc>
        <w:tc>
          <w:tcPr>
            <w:tcW w:type="dxa" w:w="2835"/>
            <w:tcMar>
              <w:top w:w="80" w:type="dxa"/>
              <w:start w:w="90" w:type="dxa"/>
              <w:bottom w:w="80" w:type="dxa"/>
              <w:end w:w="90" w:type="dxa"/>
            </w:tcMar>
          </w:tcPr>
          <w:p>
            <w:r>
              <w:t>Stufenplan und Übergangsfristen</w:t>
            </w:r>
          </w:p>
        </w:tc>
      </w:tr>
      <w:tr>
        <w:tc>
          <w:tcPr>
            <w:tcW w:type="dxa" w:w="2268"/>
            <w:tcMar>
              <w:top w:w="80" w:type="dxa"/>
              <w:start w:w="90" w:type="dxa"/>
              <w:bottom w:w="80" w:type="dxa"/>
              <w:end w:w="90" w:type="dxa"/>
            </w:tcMar>
            <w:shd w:fill="FBF8F1"/>
          </w:tcPr>
          <w:p>
            <w:r>
              <w:rPr>
                <w:b/>
                <w:color w:val="0B1020"/>
              </w:rPr>
              <w:t>Konzern</w:t>
            </w:r>
          </w:p>
        </w:tc>
        <w:tc>
          <w:tcPr>
            <w:tcW w:type="dxa" w:w="3969"/>
            <w:tcMar>
              <w:top w:w="80" w:type="dxa"/>
              <w:start w:w="90" w:type="dxa"/>
              <w:bottom w:w="80" w:type="dxa"/>
              <w:end w:w="90" w:type="dxa"/>
            </w:tcMar>
          </w:tcPr>
          <w:p>
            <w:r>
              <w:t>vollständige Scorecards, CSRD/ESRS, DPP, Assurance</w:t>
            </w:r>
          </w:p>
        </w:tc>
        <w:tc>
          <w:tcPr>
            <w:tcW w:type="dxa" w:w="2835"/>
            <w:tcMar>
              <w:top w:w="80" w:type="dxa"/>
              <w:start w:w="90" w:type="dxa"/>
              <w:bottom w:w="80" w:type="dxa"/>
              <w:end w:w="90" w:type="dxa"/>
            </w:tcMar>
          </w:tcPr>
          <w:p>
            <w:r>
              <w:t>öffentliche Transparenz und Verantwortung</w:t>
            </w:r>
          </w:p>
        </w:tc>
      </w:tr>
      <w:tr>
        <w:tc>
          <w:tcPr>
            <w:tcW w:type="dxa" w:w="2268"/>
            <w:tcMar>
              <w:top w:w="80" w:type="dxa"/>
              <w:start w:w="90" w:type="dxa"/>
              <w:bottom w:w="80" w:type="dxa"/>
              <w:end w:w="90" w:type="dxa"/>
            </w:tcMar>
            <w:shd w:fill="FBF8F1"/>
          </w:tcPr>
          <w:p>
            <w:r>
              <w:rPr>
                <w:b/>
                <w:color w:val="0B1020"/>
              </w:rPr>
              <w:t>Start-up</w:t>
            </w:r>
          </w:p>
        </w:tc>
        <w:tc>
          <w:tcPr>
            <w:tcW w:type="dxa" w:w="3969"/>
            <w:tcMar>
              <w:top w:w="80" w:type="dxa"/>
              <w:start w:w="90" w:type="dxa"/>
              <w:bottom w:w="80" w:type="dxa"/>
              <w:end w:w="90" w:type="dxa"/>
            </w:tcMar>
          </w:tcPr>
          <w:p>
            <w:r>
              <w:t>Wirkungsdesign von Beginn an</w:t>
            </w:r>
          </w:p>
        </w:tc>
        <w:tc>
          <w:tcPr>
            <w:tcW w:type="dxa" w:w="2835"/>
            <w:tcMar>
              <w:top w:w="80" w:type="dxa"/>
              <w:start w:w="90" w:type="dxa"/>
              <w:bottom w:w="80" w:type="dxa"/>
              <w:end w:w="90" w:type="dxa"/>
            </w:tcMar>
          </w:tcPr>
          <w:p>
            <w:r>
              <w:t>Impact-by-Design, Wachstumsfinanzierung nach Wirkung</w:t>
            </w:r>
          </w:p>
        </w:tc>
      </w:tr>
    </w:tbl>
    <w:p/>
    <w:p>
      <w:pPr>
        <w:pStyle w:val="Heading1"/>
      </w:pPr>
      <w:r>
        <w:t>Transformationspfade für Geschäftsmodelle</w:t>
      </w:r>
    </w:p>
    <w:p>
      <w:r>
        <w:rPr>
          <w:rFonts w:ascii="Arial" w:hAnsi="Arial"/>
          <w:color w:val="4B4F56"/>
          <w:sz w:val="19"/>
        </w:rPr>
        <w:t>Nicht jedes Geschäftsmodell kann gleich transformiert werden. Manche können durch Effizienz, Kreislauf, Daten und Lieferkettenumstellung verbessert werden. Andere brauchen einen Produktwechsel, Service- statt Verkaufslogik oder den Ausstieg aus schädlichen Aktivitäten. Wieder andere sind so eng an negative Wirkung gekoppelt, dass ein geordneter Rückbau notwendig wird.</w:t>
      </w:r>
    </w:p>
    <w:p>
      <w:r>
        <w:rPr>
          <w:rFonts w:ascii="Arial" w:hAnsi="Arial"/>
          <w:color w:val="4B4F56"/>
          <w:sz w:val="19"/>
        </w:rPr>
        <w:t>Die Wirkungsökonomie unterscheidet deshalb zwischen Optimierung, Konversion und Ausstieg. Diese Unterscheidung schützt Unternehmen vor pauschaler Bewertung. Ein Unternehmen mit Altlasten kann positiv bewertet werden, wenn es einen glaubwürdigen, finanzierten und messbaren Transformationspfad verfolgt. Ein Unternehmen mit schönen Claims, aber ohne Pfadwechsel, bleibt wirkungsschwach.</w:t>
      </w:r>
    </w:p>
    <w:p>
      <w:r>
        <w:rPr>
          <w:rFonts w:ascii="Arial" w:hAnsi="Arial"/>
          <w:color w:val="4B4F56"/>
          <w:sz w:val="19"/>
        </w:rPr>
        <w:t>Der Transformationspfad muss messbar sein: Ausgangsscore, Zielscore, Fristen, Investitionen, Risiken, soziale Abfederung, Datenqualität und Korrekturmechanismen.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3270"/>
        <w:gridCol w:w="3270"/>
        <w:gridCol w:w="3270"/>
      </w:tblGrid>
      <w:tr>
        <w:trPr>
          <w:tblHeader w:val="true"/>
        </w:trPr>
        <w:tc>
          <w:tcPr>
            <w:tcW w:type="dxa" w:w="2268"/>
            <w:shd w:fill="0B1020"/>
            <w:tcMar>
              <w:top w:w="90" w:type="dxa"/>
              <w:start w:w="90" w:type="dxa"/>
              <w:bottom w:w="90" w:type="dxa"/>
              <w:end w:w="90" w:type="dxa"/>
            </w:tcMar>
          </w:tcPr>
          <w:p>
            <w:r>
              <w:rPr>
                <w:b/>
                <w:color w:val="FFFFFF"/>
              </w:rPr>
              <w:t>Pfadtyp</w:t>
            </w:r>
          </w:p>
        </w:tc>
        <w:tc>
          <w:tcPr>
            <w:tcW w:type="dxa" w:w="3402"/>
            <w:shd w:fill="0B1020"/>
            <w:tcMar>
              <w:top w:w="90" w:type="dxa"/>
              <w:start w:w="90" w:type="dxa"/>
              <w:bottom w:w="90" w:type="dxa"/>
              <w:end w:w="90" w:type="dxa"/>
            </w:tcMar>
          </w:tcPr>
          <w:p>
            <w:r>
              <w:rPr>
                <w:b/>
                <w:color w:val="FFFFFF"/>
              </w:rPr>
              <w:t>Geeignet für</w:t>
            </w:r>
          </w:p>
        </w:tc>
        <w:tc>
          <w:tcPr>
            <w:tcW w:type="dxa" w:w="3402"/>
            <w:shd w:fill="0B1020"/>
            <w:tcMar>
              <w:top w:w="90" w:type="dxa"/>
              <w:start w:w="90" w:type="dxa"/>
              <w:bottom w:w="90" w:type="dxa"/>
              <w:end w:w="90" w:type="dxa"/>
            </w:tcMar>
          </w:tcPr>
          <w:p>
            <w:r>
              <w:rPr>
                <w:b/>
                <w:color w:val="FFFFFF"/>
              </w:rPr>
              <w:t>WÖk-Maßstab</w:t>
            </w:r>
          </w:p>
        </w:tc>
      </w:tr>
      <w:tr>
        <w:tc>
          <w:tcPr>
            <w:tcW w:type="dxa" w:w="2268"/>
            <w:tcMar>
              <w:top w:w="80" w:type="dxa"/>
              <w:start w:w="90" w:type="dxa"/>
              <w:bottom w:w="80" w:type="dxa"/>
              <w:end w:w="90" w:type="dxa"/>
            </w:tcMar>
            <w:shd w:fill="FBF8F1"/>
          </w:tcPr>
          <w:p>
            <w:r>
              <w:rPr>
                <w:b/>
                <w:color w:val="0B1020"/>
              </w:rPr>
              <w:t>Optimierung</w:t>
            </w:r>
          </w:p>
        </w:tc>
        <w:tc>
          <w:tcPr>
            <w:tcW w:type="dxa" w:w="3402"/>
            <w:tcMar>
              <w:top w:w="80" w:type="dxa"/>
              <w:start w:w="90" w:type="dxa"/>
              <w:bottom w:w="80" w:type="dxa"/>
              <w:end w:w="90" w:type="dxa"/>
            </w:tcMar>
          </w:tcPr>
          <w:p>
            <w:r>
              <w:t>bestehende Aktivitäten mit verbesserbarer Wirkung</w:t>
            </w:r>
          </w:p>
        </w:tc>
        <w:tc>
          <w:tcPr>
            <w:tcW w:type="dxa" w:w="3402"/>
            <w:tcMar>
              <w:top w:w="80" w:type="dxa"/>
              <w:start w:w="90" w:type="dxa"/>
              <w:bottom w:w="80" w:type="dxa"/>
              <w:end w:w="90" w:type="dxa"/>
            </w:tcMar>
          </w:tcPr>
          <w:p>
            <w:r>
              <w:t>Effizienz, Daten, Lieferkette, Produktqualität</w:t>
            </w:r>
          </w:p>
        </w:tc>
      </w:tr>
      <w:tr>
        <w:tc>
          <w:tcPr>
            <w:tcW w:type="dxa" w:w="2268"/>
            <w:tcMar>
              <w:top w:w="80" w:type="dxa"/>
              <w:start w:w="90" w:type="dxa"/>
              <w:bottom w:w="80" w:type="dxa"/>
              <w:end w:w="90" w:type="dxa"/>
            </w:tcMar>
            <w:shd w:fill="FBF8F1"/>
          </w:tcPr>
          <w:p>
            <w:r>
              <w:rPr>
                <w:b/>
                <w:color w:val="0B1020"/>
              </w:rPr>
              <w:t>Konversion</w:t>
            </w:r>
          </w:p>
        </w:tc>
        <w:tc>
          <w:tcPr>
            <w:tcW w:type="dxa" w:w="3402"/>
            <w:tcMar>
              <w:top w:w="80" w:type="dxa"/>
              <w:start w:w="90" w:type="dxa"/>
              <w:bottom w:w="80" w:type="dxa"/>
              <w:end w:w="90" w:type="dxa"/>
            </w:tcMar>
          </w:tcPr>
          <w:p>
            <w:r>
              <w:t>Altanlagen, fossile oder lineare Prozesse mit Umbaupotenzial</w:t>
            </w:r>
          </w:p>
        </w:tc>
        <w:tc>
          <w:tcPr>
            <w:tcW w:type="dxa" w:w="3402"/>
            <w:tcMar>
              <w:top w:w="80" w:type="dxa"/>
              <w:start w:w="90" w:type="dxa"/>
              <w:bottom w:w="80" w:type="dxa"/>
              <w:end w:w="90" w:type="dxa"/>
            </w:tcMar>
          </w:tcPr>
          <w:p>
            <w:r>
              <w:t>Transformations-CapEx, T-SROI, Fristen</w:t>
            </w:r>
          </w:p>
        </w:tc>
      </w:tr>
      <w:tr>
        <w:tc>
          <w:tcPr>
            <w:tcW w:type="dxa" w:w="2268"/>
            <w:tcMar>
              <w:top w:w="80" w:type="dxa"/>
              <w:start w:w="90" w:type="dxa"/>
              <w:bottom w:w="80" w:type="dxa"/>
              <w:end w:w="90" w:type="dxa"/>
            </w:tcMar>
            <w:shd w:fill="FBF8F1"/>
          </w:tcPr>
          <w:p>
            <w:r>
              <w:rPr>
                <w:b/>
                <w:color w:val="0B1020"/>
              </w:rPr>
              <w:t>Substitution</w:t>
            </w:r>
          </w:p>
        </w:tc>
        <w:tc>
          <w:tcPr>
            <w:tcW w:type="dxa" w:w="3402"/>
            <w:tcMar>
              <w:top w:w="80" w:type="dxa"/>
              <w:start w:w="90" w:type="dxa"/>
              <w:bottom w:w="80" w:type="dxa"/>
              <w:end w:w="90" w:type="dxa"/>
            </w:tcMar>
          </w:tcPr>
          <w:p>
            <w:r>
              <w:t>Produkte mit besseren Alternativen</w:t>
            </w:r>
          </w:p>
        </w:tc>
        <w:tc>
          <w:tcPr>
            <w:tcW w:type="dxa" w:w="3402"/>
            <w:tcMar>
              <w:top w:w="80" w:type="dxa"/>
              <w:start w:w="90" w:type="dxa"/>
              <w:bottom w:w="80" w:type="dxa"/>
              <w:end w:w="90" w:type="dxa"/>
            </w:tcMar>
          </w:tcPr>
          <w:p>
            <w:r>
              <w:t>Marktverschiebung und ehrliche Preise</w:t>
            </w:r>
          </w:p>
        </w:tc>
      </w:tr>
      <w:tr>
        <w:tc>
          <w:tcPr>
            <w:tcW w:type="dxa" w:w="2268"/>
            <w:tcMar>
              <w:top w:w="80" w:type="dxa"/>
              <w:start w:w="90" w:type="dxa"/>
              <w:bottom w:w="80" w:type="dxa"/>
              <w:end w:w="90" w:type="dxa"/>
            </w:tcMar>
            <w:shd w:fill="FBF8F1"/>
          </w:tcPr>
          <w:p>
            <w:r>
              <w:rPr>
                <w:b/>
                <w:color w:val="0B1020"/>
              </w:rPr>
              <w:t>Rückbau</w:t>
            </w:r>
          </w:p>
        </w:tc>
        <w:tc>
          <w:tcPr>
            <w:tcW w:type="dxa" w:w="3402"/>
            <w:tcMar>
              <w:top w:w="80" w:type="dxa"/>
              <w:start w:w="90" w:type="dxa"/>
              <w:bottom w:w="80" w:type="dxa"/>
              <w:end w:w="90" w:type="dxa"/>
            </w:tcMar>
          </w:tcPr>
          <w:p>
            <w:r>
              <w:t>Aktivitäten mit nicht tragfähiger Negativwirkung</w:t>
            </w:r>
          </w:p>
        </w:tc>
        <w:tc>
          <w:tcPr>
            <w:tcW w:type="dxa" w:w="3402"/>
            <w:tcMar>
              <w:top w:w="80" w:type="dxa"/>
              <w:start w:w="90" w:type="dxa"/>
              <w:bottom w:w="80" w:type="dxa"/>
              <w:end w:w="90" w:type="dxa"/>
            </w:tcMar>
          </w:tcPr>
          <w:p>
            <w:r>
              <w:t>soziale Abfederung, geordneter Ausstieg</w:t>
            </w:r>
          </w:p>
        </w:tc>
      </w:tr>
      <w:tr>
        <w:tc>
          <w:tcPr>
            <w:tcW w:type="dxa" w:w="2268"/>
            <w:tcMar>
              <w:top w:w="80" w:type="dxa"/>
              <w:start w:w="90" w:type="dxa"/>
              <w:bottom w:w="80" w:type="dxa"/>
              <w:end w:w="90" w:type="dxa"/>
            </w:tcMar>
            <w:shd w:fill="FBF8F1"/>
          </w:tcPr>
          <w:p>
            <w:r>
              <w:rPr>
                <w:b/>
                <w:color w:val="0B1020"/>
              </w:rPr>
              <w:t>Neugründung</w:t>
            </w:r>
          </w:p>
        </w:tc>
        <w:tc>
          <w:tcPr>
            <w:tcW w:type="dxa" w:w="3402"/>
            <w:tcMar>
              <w:top w:w="80" w:type="dxa"/>
              <w:start w:w="90" w:type="dxa"/>
              <w:bottom w:w="80" w:type="dxa"/>
              <w:end w:w="90" w:type="dxa"/>
            </w:tcMar>
          </w:tcPr>
          <w:p>
            <w:r>
              <w:t>neue Geschäftsmodelle</w:t>
            </w:r>
          </w:p>
        </w:tc>
        <w:tc>
          <w:tcPr>
            <w:tcW w:type="dxa" w:w="3402"/>
            <w:tcMar>
              <w:top w:w="80" w:type="dxa"/>
              <w:start w:w="90" w:type="dxa"/>
              <w:bottom w:w="80" w:type="dxa"/>
              <w:end w:w="90" w:type="dxa"/>
            </w:tcMar>
          </w:tcPr>
          <w:p>
            <w:r>
              <w:t>Impact-by-Design und positive Netto-Wirkung</w:t>
            </w:r>
          </w:p>
        </w:tc>
      </w:tr>
    </w:tbl>
    <w:p/>
    <w:p>
      <w:pPr>
        <w:pStyle w:val="Heading1"/>
      </w:pPr>
      <w:r>
        <w:t>Organisation, Führung und Mitarbeitende im Übergang</w:t>
      </w:r>
    </w:p>
    <w:p>
      <w:r>
        <w:rPr>
          <w:rFonts w:ascii="Arial" w:hAnsi="Arial"/>
          <w:color w:val="4B4F56"/>
          <w:sz w:val="19"/>
        </w:rPr>
        <w:t>Transformation scheitert selten nur an Technik. Sie scheitert häufig an Organisation, Führung, Angst, Status, Kompetenzlücken und unklaren Anreizen. Deshalb muss wirkungsökonomische Transformation Mitarbeitende einbeziehen und nicht nur Kennzahlen einführen.</w:t>
      </w:r>
    </w:p>
    <w:p>
      <w:r>
        <w:rPr>
          <w:rFonts w:ascii="Arial" w:hAnsi="Arial"/>
          <w:color w:val="4B4F56"/>
          <w:sz w:val="19"/>
        </w:rPr>
        <w:t>Mitarbeitende brauchen Wirkungskompetenz: Sie müssen verstehen, wie ihre Rolle auf Produkte, Kund:innen, Lieferketten, Daten und Entscheidungen wirkt. Führungskräfte brauchen die Fähigkeit, Zielkonflikte offen zu moderieren und nicht jedes Problem in Kontrolle zu übersetzen.</w:t>
      </w:r>
    </w:p>
    <w:p>
      <w:r>
        <w:rPr>
          <w:rFonts w:ascii="Arial" w:hAnsi="Arial"/>
          <w:color w:val="4B4F56"/>
          <w:sz w:val="19"/>
        </w:rPr>
        <w:t>Wichtig ist auch der Schutz vor Transformationsangst. Wenn Automatisierung, KI oder Geschäftsmodellwechsel Arbeitsplätze verändern, braucht es Qualifizierung, Beteiligung, Übergangssicherung und eine klare Verbindung zu Arbeit &amp; Einkommen, Wirkungseinkommen und Sozialabgaben-Entkopplung.</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Feld</w:t>
            </w:r>
          </w:p>
        </w:tc>
        <w:tc>
          <w:tcPr>
            <w:tcW w:type="dxa" w:w="6236"/>
            <w:shd w:fill="0B1020"/>
            <w:tcMar>
              <w:top w:w="90" w:type="dxa"/>
              <w:start w:w="90" w:type="dxa"/>
              <w:bottom w:w="90" w:type="dxa"/>
              <w:end w:w="90" w:type="dxa"/>
            </w:tcMar>
          </w:tcPr>
          <w:p>
            <w:r>
              <w:rPr>
                <w:b/>
                <w:color w:val="FFFFFF"/>
              </w:rPr>
              <w:t>Übergangsaufgabe</w:t>
            </w:r>
          </w:p>
        </w:tc>
      </w:tr>
      <w:tr>
        <w:tc>
          <w:tcPr>
            <w:tcW w:type="dxa" w:w="2835"/>
            <w:tcMar>
              <w:top w:w="80" w:type="dxa"/>
              <w:start w:w="90" w:type="dxa"/>
              <w:bottom w:w="80" w:type="dxa"/>
              <w:end w:w="90" w:type="dxa"/>
            </w:tcMar>
            <w:shd w:fill="FBF8F1"/>
          </w:tcPr>
          <w:p>
            <w:r>
              <w:rPr>
                <w:b/>
                <w:color w:val="0B1020"/>
              </w:rPr>
              <w:t>Führung</w:t>
            </w:r>
          </w:p>
        </w:tc>
        <w:tc>
          <w:tcPr>
            <w:tcW w:type="dxa" w:w="6236"/>
            <w:tcMar>
              <w:top w:w="80" w:type="dxa"/>
              <w:start w:w="90" w:type="dxa"/>
              <w:bottom w:w="80" w:type="dxa"/>
              <w:end w:w="90" w:type="dxa"/>
            </w:tcMar>
          </w:tcPr>
          <w:p>
            <w:r>
              <w:t>Zielkonflikte moderieren, Wirkung in Entscheidungen einbauen</w:t>
            </w:r>
          </w:p>
        </w:tc>
      </w:tr>
      <w:tr>
        <w:tc>
          <w:tcPr>
            <w:tcW w:type="dxa" w:w="2835"/>
            <w:tcMar>
              <w:top w:w="80" w:type="dxa"/>
              <w:start w:w="90" w:type="dxa"/>
              <w:bottom w:w="80" w:type="dxa"/>
              <w:end w:w="90" w:type="dxa"/>
            </w:tcMar>
            <w:shd w:fill="FBF8F1"/>
          </w:tcPr>
          <w:p>
            <w:r>
              <w:rPr>
                <w:b/>
                <w:color w:val="0B1020"/>
              </w:rPr>
              <w:t>HR</w:t>
            </w:r>
          </w:p>
        </w:tc>
        <w:tc>
          <w:tcPr>
            <w:tcW w:type="dxa" w:w="6236"/>
            <w:tcMar>
              <w:top w:w="80" w:type="dxa"/>
              <w:start w:w="90" w:type="dxa"/>
              <w:bottom w:w="80" w:type="dxa"/>
              <w:end w:w="90" w:type="dxa"/>
            </w:tcMar>
          </w:tcPr>
          <w:p>
            <w:r>
              <w:t>Weiterbildung, Wirkungskompetenz, faire Übergänge, Mitbestimmung</w:t>
            </w:r>
          </w:p>
        </w:tc>
      </w:tr>
      <w:tr>
        <w:tc>
          <w:tcPr>
            <w:tcW w:type="dxa" w:w="2835"/>
            <w:tcMar>
              <w:top w:w="80" w:type="dxa"/>
              <w:start w:w="90" w:type="dxa"/>
              <w:bottom w:w="80" w:type="dxa"/>
              <w:end w:w="90" w:type="dxa"/>
            </w:tcMar>
            <w:shd w:fill="FBF8F1"/>
          </w:tcPr>
          <w:p>
            <w:r>
              <w:rPr>
                <w:b/>
                <w:color w:val="0B1020"/>
              </w:rPr>
              <w:t>Controlling</w:t>
            </w:r>
          </w:p>
        </w:tc>
        <w:tc>
          <w:tcPr>
            <w:tcW w:type="dxa" w:w="6236"/>
            <w:tcMar>
              <w:top w:w="80" w:type="dxa"/>
              <w:start w:w="90" w:type="dxa"/>
              <w:bottom w:w="80" w:type="dxa"/>
              <w:end w:w="90" w:type="dxa"/>
            </w:tcMar>
          </w:tcPr>
          <w:p>
            <w:r>
              <w:t>KPI und KII verbinden, Lernschleifen dokumentieren</w:t>
            </w:r>
          </w:p>
        </w:tc>
      </w:tr>
      <w:tr>
        <w:tc>
          <w:tcPr>
            <w:tcW w:type="dxa" w:w="2835"/>
            <w:tcMar>
              <w:top w:w="80" w:type="dxa"/>
              <w:start w:w="90" w:type="dxa"/>
              <w:bottom w:w="80" w:type="dxa"/>
              <w:end w:w="90" w:type="dxa"/>
            </w:tcMar>
            <w:shd w:fill="FBF8F1"/>
          </w:tcPr>
          <w:p>
            <w:r>
              <w:rPr>
                <w:b/>
                <w:color w:val="0B1020"/>
              </w:rPr>
              <w:t>Einkauf</w:t>
            </w:r>
          </w:p>
        </w:tc>
        <w:tc>
          <w:tcPr>
            <w:tcW w:type="dxa" w:w="6236"/>
            <w:tcMar>
              <w:top w:w="80" w:type="dxa"/>
              <w:start w:w="90" w:type="dxa"/>
              <w:bottom w:w="80" w:type="dxa"/>
              <w:end w:w="90" w:type="dxa"/>
            </w:tcMar>
          </w:tcPr>
          <w:p>
            <w:r>
              <w:t>Lieferanten befähigen statt nur sanktionieren</w:t>
            </w:r>
          </w:p>
        </w:tc>
      </w:tr>
      <w:tr>
        <w:tc>
          <w:tcPr>
            <w:tcW w:type="dxa" w:w="2835"/>
            <w:tcMar>
              <w:top w:w="80" w:type="dxa"/>
              <w:start w:w="90" w:type="dxa"/>
              <w:bottom w:w="80" w:type="dxa"/>
              <w:end w:w="90" w:type="dxa"/>
            </w:tcMar>
            <w:shd w:fill="FBF8F1"/>
          </w:tcPr>
          <w:p>
            <w:r>
              <w:rPr>
                <w:b/>
                <w:color w:val="0B1020"/>
              </w:rPr>
              <w:t>Kommunikation</w:t>
            </w:r>
          </w:p>
        </w:tc>
        <w:tc>
          <w:tcPr>
            <w:tcW w:type="dxa" w:w="6236"/>
            <w:tcMar>
              <w:top w:w="80" w:type="dxa"/>
              <w:start w:w="90" w:type="dxa"/>
              <w:bottom w:w="80" w:type="dxa"/>
              <w:end w:w="90" w:type="dxa"/>
            </w:tcMar>
          </w:tcPr>
          <w:p>
            <w:r>
              <w:t>ehrlich über Fortschritt, Grenzen und Unsicherheit sprechen</w:t>
            </w:r>
          </w:p>
        </w:tc>
      </w:tr>
    </w:tbl>
    <w:p/>
    <w:p>
      <w:pPr>
        <w:pStyle w:val="Heading1"/>
      </w:pPr>
      <w:r>
        <w:t>Finanzierung des Übergangs</w:t>
      </w:r>
    </w:p>
    <w:p>
      <w:r>
        <w:rPr>
          <w:rFonts w:ascii="Arial" w:hAnsi="Arial"/>
          <w:color w:val="4B4F56"/>
          <w:sz w:val="19"/>
        </w:rPr>
        <w:t>Transformation kostet. Genau deshalb braucht sie eine Finanzierungsarchitektur. Ohne Übergangsfinanzierung bleibt Wirkung ein Anspruch, der Unternehmen mit geringen Margen überfordert. Wirkungsfonds, Wirkungskredite, Steuerentlastungen, Garantien und öffentliche Beschaffung können helfen, positive Pfadwechsel zu ermöglichen.</w:t>
      </w:r>
    </w:p>
    <w:p>
      <w:r>
        <w:rPr>
          <w:rFonts w:ascii="Arial" w:hAnsi="Arial"/>
          <w:color w:val="4B4F56"/>
          <w:sz w:val="19"/>
        </w:rPr>
        <w:t>Finanzierung darf aber nicht blind fördern. Sie muss an echte Transformationswirkung, Datenqualität und überprüfbare Meilensteine gebunden sein. Sonst entsteht Subventionsbürokratie statt Wirkung.</w:t>
      </w:r>
    </w:p>
    <w:p>
      <w:r>
        <w:rPr>
          <w:rFonts w:ascii="Arial" w:hAnsi="Arial"/>
          <w:color w:val="4B4F56"/>
          <w:sz w:val="19"/>
        </w:rPr>
        <w:t>Die WÖk-Logik lautet: Wer glaubwürdig positive Netto-Wirkung aufbaut, erhält besseren Kapitalzugang. Wer destruktive Wirkung konserviert, muss steigende Kosten tragen. Übergangsschutz ist möglich, aber nicht als Dauerprivileg.</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Instrument</w:t>
            </w:r>
          </w:p>
        </w:tc>
        <w:tc>
          <w:tcPr>
            <w:tcW w:type="dxa" w:w="6236"/>
            <w:shd w:fill="0B1020"/>
            <w:tcMar>
              <w:top w:w="90" w:type="dxa"/>
              <w:start w:w="90" w:type="dxa"/>
              <w:bottom w:w="90" w:type="dxa"/>
              <w:end w:w="90" w:type="dxa"/>
            </w:tcMar>
          </w:tcPr>
          <w:p>
            <w:r>
              <w:rPr>
                <w:b/>
                <w:color w:val="FFFFFF"/>
              </w:rPr>
              <w:t>Funktion</w:t>
            </w:r>
          </w:p>
        </w:tc>
      </w:tr>
      <w:tr>
        <w:tc>
          <w:tcPr>
            <w:tcW w:type="dxa" w:w="2835"/>
            <w:tcMar>
              <w:top w:w="80" w:type="dxa"/>
              <w:start w:w="90" w:type="dxa"/>
              <w:bottom w:w="80" w:type="dxa"/>
              <w:end w:w="90" w:type="dxa"/>
            </w:tcMar>
            <w:shd w:fill="FBF8F1"/>
          </w:tcPr>
          <w:p>
            <w:r>
              <w:rPr>
                <w:b/>
                <w:color w:val="0B1020"/>
              </w:rPr>
              <w:t>Wirkungsfonds</w:t>
            </w:r>
          </w:p>
        </w:tc>
        <w:tc>
          <w:tcPr>
            <w:tcW w:type="dxa" w:w="6236"/>
            <w:tcMar>
              <w:top w:w="80" w:type="dxa"/>
              <w:start w:w="90" w:type="dxa"/>
              <w:bottom w:w="80" w:type="dxa"/>
              <w:end w:w="90" w:type="dxa"/>
            </w:tcMar>
          </w:tcPr>
          <w:p>
            <w:r>
              <w:t>finanziert Transformations-CapEx, Pilotprojekte und Infrastruktur</w:t>
            </w:r>
          </w:p>
        </w:tc>
      </w:tr>
      <w:tr>
        <w:tc>
          <w:tcPr>
            <w:tcW w:type="dxa" w:w="2835"/>
            <w:tcMar>
              <w:top w:w="80" w:type="dxa"/>
              <w:start w:w="90" w:type="dxa"/>
              <w:bottom w:w="80" w:type="dxa"/>
              <w:end w:w="90" w:type="dxa"/>
            </w:tcMar>
            <w:shd w:fill="FBF8F1"/>
          </w:tcPr>
          <w:p>
            <w:r>
              <w:rPr>
                <w:b/>
                <w:color w:val="0B1020"/>
              </w:rPr>
              <w:t>Wirkungskredit</w:t>
            </w:r>
          </w:p>
        </w:tc>
        <w:tc>
          <w:tcPr>
            <w:tcW w:type="dxa" w:w="6236"/>
            <w:tcMar>
              <w:top w:w="80" w:type="dxa"/>
              <w:start w:w="90" w:type="dxa"/>
              <w:bottom w:w="80" w:type="dxa"/>
              <w:end w:w="90" w:type="dxa"/>
            </w:tcMar>
          </w:tcPr>
          <w:p>
            <w:r>
              <w:t>Zins-/Kreditlogik nach Wirkungsprofil und Übergangspfad</w:t>
            </w:r>
          </w:p>
        </w:tc>
      </w:tr>
      <w:tr>
        <w:tc>
          <w:tcPr>
            <w:tcW w:type="dxa" w:w="2835"/>
            <w:tcMar>
              <w:top w:w="80" w:type="dxa"/>
              <w:start w:w="90" w:type="dxa"/>
              <w:bottom w:w="80" w:type="dxa"/>
              <w:end w:w="90" w:type="dxa"/>
            </w:tcMar>
            <w:shd w:fill="FBF8F1"/>
          </w:tcPr>
          <w:p>
            <w:r>
              <w:rPr>
                <w:b/>
                <w:color w:val="0B1020"/>
              </w:rPr>
              <w:t>Steuerliche Übergangsbrücke</w:t>
            </w:r>
          </w:p>
        </w:tc>
        <w:tc>
          <w:tcPr>
            <w:tcW w:type="dxa" w:w="6236"/>
            <w:tcMar>
              <w:top w:w="80" w:type="dxa"/>
              <w:start w:w="90" w:type="dxa"/>
              <w:bottom w:w="80" w:type="dxa"/>
              <w:end w:w="90" w:type="dxa"/>
            </w:tcMar>
          </w:tcPr>
          <w:p>
            <w:r>
              <w:t>Entlastung bei nachweisbarer Konversion</w:t>
            </w:r>
          </w:p>
        </w:tc>
      </w:tr>
      <w:tr>
        <w:tc>
          <w:tcPr>
            <w:tcW w:type="dxa" w:w="2835"/>
            <w:tcMar>
              <w:top w:w="80" w:type="dxa"/>
              <w:start w:w="90" w:type="dxa"/>
              <w:bottom w:w="80" w:type="dxa"/>
              <w:end w:w="90" w:type="dxa"/>
            </w:tcMar>
            <w:shd w:fill="FBF8F1"/>
          </w:tcPr>
          <w:p>
            <w:r>
              <w:rPr>
                <w:b/>
                <w:color w:val="0B1020"/>
              </w:rPr>
              <w:t>Öffentliche Beschaffung</w:t>
            </w:r>
          </w:p>
        </w:tc>
        <w:tc>
          <w:tcPr>
            <w:tcW w:type="dxa" w:w="6236"/>
            <w:tcMar>
              <w:top w:w="80" w:type="dxa"/>
              <w:start w:w="90" w:type="dxa"/>
              <w:bottom w:w="80" w:type="dxa"/>
              <w:end w:w="90" w:type="dxa"/>
            </w:tcMar>
          </w:tcPr>
          <w:p>
            <w:r>
              <w:t>Nachfrage für wirkungsstarke Produkte und KMU schaffen</w:t>
            </w:r>
          </w:p>
        </w:tc>
      </w:tr>
      <w:tr>
        <w:tc>
          <w:tcPr>
            <w:tcW w:type="dxa" w:w="2835"/>
            <w:tcMar>
              <w:top w:w="80" w:type="dxa"/>
              <w:start w:w="90" w:type="dxa"/>
              <w:bottom w:w="80" w:type="dxa"/>
              <w:end w:w="90" w:type="dxa"/>
            </w:tcMar>
            <w:shd w:fill="FBF8F1"/>
          </w:tcPr>
          <w:p>
            <w:r>
              <w:rPr>
                <w:b/>
                <w:color w:val="0B1020"/>
              </w:rPr>
              <w:t>Qualifizierungsfonds</w:t>
            </w:r>
          </w:p>
        </w:tc>
        <w:tc>
          <w:tcPr>
            <w:tcW w:type="dxa" w:w="6236"/>
            <w:tcMar>
              <w:top w:w="80" w:type="dxa"/>
              <w:start w:w="90" w:type="dxa"/>
              <w:bottom w:w="80" w:type="dxa"/>
              <w:end w:w="90" w:type="dxa"/>
            </w:tcMar>
          </w:tcPr>
          <w:p>
            <w:r>
              <w:t>Mitarbeitende für neue Rollen, KI, Kreislauf und Wirkung qualifizieren</w:t>
            </w:r>
          </w:p>
        </w:tc>
      </w:tr>
    </w:tbl>
    <w:p/>
    <w:p>
      <w:pPr>
        <w:pStyle w:val="Heading1"/>
      </w:pPr>
      <w:r>
        <w:t>Daten, Tools und Umsetzungsschritte</w:t>
      </w:r>
    </w:p>
    <w:p>
      <w:r>
        <w:rPr>
          <w:rFonts w:ascii="Arial" w:hAnsi="Arial"/>
          <w:color w:val="4B4F56"/>
          <w:sz w:val="19"/>
        </w:rPr>
        <w:t>Der Übergang beginnt nicht mit Vollständigkeit. Er beginnt mit einer sauberen Erstdiagnose: Welche Produkte, Prozesse oder Lieferketten sind wesentlich? Welche Daten liegen vor? Wo bestehen rote Linien? Welche Maßnahmen haben hohe Wirkung bei realistischer Umsetzbarkeit?</w:t>
      </w:r>
    </w:p>
    <w:p>
      <w:r>
        <w:rPr>
          <w:rFonts w:ascii="Arial" w:hAnsi="Arial"/>
          <w:color w:val="4B4F56"/>
          <w:sz w:val="19"/>
        </w:rPr>
        <w:t>Daraus entsteht eine Roadmap. Sie sollte nicht nur Maßnahmen sammeln, sondern Abhängigkeiten, Kosten, Datenlücken, Verantwortlichkeiten und Lernpunkte sichtbar machen. Wichtig ist, dass die Roadmap in bestehende Managementprozesse integriert wird: Budget, Einkauf, Produktentwicklung, HR und Finanzkommunikation.</w:t>
      </w:r>
    </w:p>
    <w:p>
      <w:r>
        <w:rPr>
          <w:rFonts w:ascii="Arial" w:hAnsi="Arial"/>
          <w:color w:val="4B4F56"/>
          <w:sz w:val="19"/>
        </w:rPr>
        <w:t>Digitale Tools können unterstützen, dürfen aber nicht als Social-Credit- oder Personenbewertung missverstanden werden. Bewertet werden Prozesse, Produkte, Projekte und Systeme - nicht der Wert einzelner Menschen.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Schritt</w:t>
            </w:r>
          </w:p>
        </w:tc>
        <w:tc>
          <w:tcPr>
            <w:tcW w:type="dxa" w:w="6236"/>
            <w:shd w:fill="0B1020"/>
            <w:tcMar>
              <w:top w:w="90" w:type="dxa"/>
              <w:start w:w="90" w:type="dxa"/>
              <w:bottom w:w="90" w:type="dxa"/>
              <w:end w:w="90" w:type="dxa"/>
            </w:tcMar>
          </w:tcPr>
          <w:p>
            <w:r>
              <w:rPr>
                <w:b/>
                <w:color w:val="FFFFFF"/>
              </w:rPr>
              <w:t>Output</w:t>
            </w:r>
          </w:p>
        </w:tc>
      </w:tr>
      <w:tr>
        <w:tc>
          <w:tcPr>
            <w:tcW w:type="dxa" w:w="2835"/>
            <w:tcMar>
              <w:top w:w="80" w:type="dxa"/>
              <w:start w:w="90" w:type="dxa"/>
              <w:bottom w:w="80" w:type="dxa"/>
              <w:end w:w="90" w:type="dxa"/>
            </w:tcMar>
            <w:shd w:fill="FBF8F1"/>
          </w:tcPr>
          <w:p>
            <w:r>
              <w:rPr>
                <w:b/>
                <w:color w:val="0B1020"/>
              </w:rPr>
              <w:t>1 Wirkungsdiagnose</w:t>
            </w:r>
          </w:p>
        </w:tc>
        <w:tc>
          <w:tcPr>
            <w:tcW w:type="dxa" w:w="6236"/>
            <w:tcMar>
              <w:top w:w="80" w:type="dxa"/>
              <w:start w:w="90" w:type="dxa"/>
              <w:bottom w:w="80" w:type="dxa"/>
              <w:end w:w="90" w:type="dxa"/>
            </w:tcMar>
          </w:tcPr>
          <w:p>
            <w:r>
              <w:t>Wesentlichkeitskarte, Kernrisiken, erste Scorecards</w:t>
            </w:r>
          </w:p>
        </w:tc>
      </w:tr>
      <w:tr>
        <w:tc>
          <w:tcPr>
            <w:tcW w:type="dxa" w:w="2835"/>
            <w:tcMar>
              <w:top w:w="80" w:type="dxa"/>
              <w:start w:w="90" w:type="dxa"/>
              <w:bottom w:w="80" w:type="dxa"/>
              <w:end w:w="90" w:type="dxa"/>
            </w:tcMar>
            <w:shd w:fill="FBF8F1"/>
          </w:tcPr>
          <w:p>
            <w:r>
              <w:rPr>
                <w:b/>
                <w:color w:val="0B1020"/>
              </w:rPr>
              <w:t>2 Dateninventur</w:t>
            </w:r>
          </w:p>
        </w:tc>
        <w:tc>
          <w:tcPr>
            <w:tcW w:type="dxa" w:w="6236"/>
            <w:tcMar>
              <w:top w:w="80" w:type="dxa"/>
              <w:start w:w="90" w:type="dxa"/>
              <w:bottom w:w="80" w:type="dxa"/>
              <w:end w:w="90" w:type="dxa"/>
            </w:tcMar>
          </w:tcPr>
          <w:p>
            <w:r>
              <w:t>vorhandene Daten, Datenlücken, Quellen, Verantwortliche</w:t>
            </w:r>
          </w:p>
        </w:tc>
      </w:tr>
      <w:tr>
        <w:tc>
          <w:tcPr>
            <w:tcW w:type="dxa" w:w="2835"/>
            <w:tcMar>
              <w:top w:w="80" w:type="dxa"/>
              <w:start w:w="90" w:type="dxa"/>
              <w:bottom w:w="80" w:type="dxa"/>
              <w:end w:w="90" w:type="dxa"/>
            </w:tcMar>
            <w:shd w:fill="FBF8F1"/>
          </w:tcPr>
          <w:p>
            <w:r>
              <w:rPr>
                <w:b/>
                <w:color w:val="0B1020"/>
              </w:rPr>
              <w:t>3 Pilotbereich</w:t>
            </w:r>
          </w:p>
        </w:tc>
        <w:tc>
          <w:tcPr>
            <w:tcW w:type="dxa" w:w="6236"/>
            <w:tcMar>
              <w:top w:w="80" w:type="dxa"/>
              <w:start w:w="90" w:type="dxa"/>
              <w:bottom w:w="80" w:type="dxa"/>
              <w:end w:w="90" w:type="dxa"/>
            </w:tcMar>
          </w:tcPr>
          <w:p>
            <w:r>
              <w:t>Produkt, Standort, Lieferantengruppe oder Prozess</w:t>
            </w:r>
          </w:p>
        </w:tc>
      </w:tr>
      <w:tr>
        <w:tc>
          <w:tcPr>
            <w:tcW w:type="dxa" w:w="2835"/>
            <w:tcMar>
              <w:top w:w="80" w:type="dxa"/>
              <w:start w:w="90" w:type="dxa"/>
              <w:bottom w:w="80" w:type="dxa"/>
              <w:end w:w="90" w:type="dxa"/>
            </w:tcMar>
            <w:shd w:fill="FBF8F1"/>
          </w:tcPr>
          <w:p>
            <w:r>
              <w:rPr>
                <w:b/>
                <w:color w:val="0B1020"/>
              </w:rPr>
              <w:t>4 Roadmap</w:t>
            </w:r>
          </w:p>
        </w:tc>
        <w:tc>
          <w:tcPr>
            <w:tcW w:type="dxa" w:w="6236"/>
            <w:tcMar>
              <w:top w:w="80" w:type="dxa"/>
              <w:start w:w="90" w:type="dxa"/>
              <w:bottom w:w="80" w:type="dxa"/>
              <w:end w:w="90" w:type="dxa"/>
            </w:tcMar>
          </w:tcPr>
          <w:p>
            <w:r>
              <w:t>Maßnahmen, CapEx/Opex, Zeit, Wirkung, Verantwortlichkeiten</w:t>
            </w:r>
          </w:p>
        </w:tc>
      </w:tr>
      <w:tr>
        <w:tc>
          <w:tcPr>
            <w:tcW w:type="dxa" w:w="2835"/>
            <w:tcMar>
              <w:top w:w="80" w:type="dxa"/>
              <w:start w:w="90" w:type="dxa"/>
              <w:bottom w:w="80" w:type="dxa"/>
              <w:end w:w="90" w:type="dxa"/>
            </w:tcMar>
            <w:shd w:fill="FBF8F1"/>
          </w:tcPr>
          <w:p>
            <w:r>
              <w:rPr>
                <w:b/>
                <w:color w:val="0B1020"/>
              </w:rPr>
              <w:t>5 Rückkopplung</w:t>
            </w:r>
          </w:p>
        </w:tc>
        <w:tc>
          <w:tcPr>
            <w:tcW w:type="dxa" w:w="6236"/>
            <w:tcMar>
              <w:top w:w="80" w:type="dxa"/>
              <w:start w:w="90" w:type="dxa"/>
              <w:bottom w:w="80" w:type="dxa"/>
              <w:end w:w="90" w:type="dxa"/>
            </w:tcMar>
          </w:tcPr>
          <w:p>
            <w:r>
              <w:t>Budget, Einkauf, Boni, Kommunikation, Finanzierung</w:t>
            </w:r>
          </w:p>
        </w:tc>
      </w:tr>
      <w:tr>
        <w:tc>
          <w:tcPr>
            <w:tcW w:type="dxa" w:w="2835"/>
            <w:tcMar>
              <w:top w:w="80" w:type="dxa"/>
              <w:start w:w="90" w:type="dxa"/>
              <w:bottom w:w="80" w:type="dxa"/>
              <w:end w:w="90" w:type="dxa"/>
            </w:tcMar>
            <w:shd w:fill="FBF8F1"/>
          </w:tcPr>
          <w:p>
            <w:r>
              <w:rPr>
                <w:b/>
                <w:color w:val="0B1020"/>
              </w:rPr>
              <w:t>6 Evaluation</w:t>
            </w:r>
          </w:p>
        </w:tc>
        <w:tc>
          <w:tcPr>
            <w:tcW w:type="dxa" w:w="6236"/>
            <w:tcMar>
              <w:top w:w="80" w:type="dxa"/>
              <w:start w:w="90" w:type="dxa"/>
              <w:bottom w:w="80" w:type="dxa"/>
              <w:end w:w="90" w:type="dxa"/>
            </w:tcMar>
          </w:tcPr>
          <w:p>
            <w:r>
              <w:t>Lernen, Korrektur, Skalierung oder Abbruch</w:t>
            </w:r>
          </w:p>
        </w:tc>
      </w:tr>
    </w:tbl>
    <w:p/>
    <w:p>
      <w:pPr>
        <w:pStyle w:val="Heading1"/>
      </w:pPr>
      <w:r>
        <w:t>Praxisbeispiele und Szenarien</w:t>
      </w:r>
    </w:p>
    <w:p>
      <w:r>
        <w:rPr>
          <w:rFonts w:ascii="Arial" w:hAnsi="Arial"/>
          <w:color w:val="4B4F56"/>
          <w:sz w:val="19"/>
        </w:rPr>
        <w:t>Szenario 1: Ein Handwerksbetrieb möchte klimafreundlicher werden, hat aber keine Nachhaltigkeitsabteilung. Ein KMU-Wirkungscheck erfasst Energie, Material, Mobilität, Arbeitsschutz, Kund:innennutzen und regionale Wirkung. Daraus entstehen drei Maßnahmen: erneuerbarer Strom, Materialkreislauf und transparente Kund:inneninformation.</w:t>
      </w:r>
    </w:p>
    <w:p>
      <w:r>
        <w:rPr>
          <w:rFonts w:ascii="Arial" w:hAnsi="Arial"/>
          <w:color w:val="4B4F56"/>
          <w:sz w:val="19"/>
        </w:rPr>
        <w:t>Szenario 2: Ein mittelständischer Zulieferer bekommt ESG-Datenanfragen von drei Kunden und zwei Banken. Statt fünf parallele Formulare zu pflegen, baut er ein standardisiertes Wirkungsprofil auf, das Kunden-, Bank- und Versicherungsanforderungen zusammenführt.</w:t>
      </w:r>
    </w:p>
    <w:p>
      <w:r>
        <w:rPr>
          <w:rFonts w:ascii="Arial" w:hAnsi="Arial"/>
          <w:color w:val="4B4F56"/>
          <w:sz w:val="19"/>
        </w:rPr>
        <w:t>Szenario 3: Ein Konzern muss eine alte Produktionslinie ersetzen. Der klassische Business Case zeigt hohe Kosten. Der WÖk-Case zeigt jedoch sinkendes Stranding-Risiko, bessere Finanzierung, geringere Energieabhängigkeit und höhere Zukunftsfähigkeit.</w:t>
      </w:r>
    </w:p>
    <w:p>
      <w:pPr>
        <w:pStyle w:val="Heading1"/>
      </w:pPr>
      <w:r>
        <w:t>Tool- und Rechnerbezug</w:t>
      </w:r>
    </w:p>
    <w:p>
      <w:r>
        <w:rPr>
          <w:rFonts w:ascii="Arial" w:hAnsi="Arial"/>
          <w:color w:val="4B4F56"/>
          <w:sz w:val="19"/>
        </w:rPr>
        <w:t>Go 7 kann eine eigene Tool-Suite vorbereiten. Im Zentrum steht ein Transformations- und KMU-Reifegradcheck. Er soll Unternehmen helfen, ihre Stufe zu bestimmen, nächste Schritte zu priorisieren und passende Dokumente, Tools und Förderlogiken zu finden.</w:t>
      </w:r>
    </w:p>
    <w:p>
      <w:r>
        <w:rPr>
          <w:rFonts w:ascii="Arial" w:hAnsi="Arial"/>
          <w:color w:val="4B4F56"/>
          <w:sz w:val="19"/>
        </w:rPr>
        <w:t>Ein Übergangspfad-Generator könnte aus Branche, Unternehmensgröße, Datenreife, Kernrisiken und verfügbaren Maßnahmen eine erste Roadmap erzeugen. Er ersetzt keine Beratung, erleichtert aber Orientierung und reduziert Überforderung.</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3270"/>
        <w:gridCol w:w="3270"/>
        <w:gridCol w:w="3270"/>
      </w:tblGrid>
      <w:tr>
        <w:trPr>
          <w:tblHeader w:val="true"/>
        </w:trPr>
        <w:tc>
          <w:tcPr>
            <w:tcW w:type="dxa" w:w="2835"/>
            <w:shd w:fill="0B1020"/>
            <w:tcMar>
              <w:top w:w="90" w:type="dxa"/>
              <w:start w:w="90" w:type="dxa"/>
              <w:bottom w:w="90" w:type="dxa"/>
              <w:end w:w="90" w:type="dxa"/>
            </w:tcMar>
          </w:tcPr>
          <w:p>
            <w:r>
              <w:rPr>
                <w:b/>
                <w:color w:val="FFFFFF"/>
              </w:rPr>
              <w:t>Tool</w:t>
            </w:r>
          </w:p>
        </w:tc>
        <w:tc>
          <w:tcPr>
            <w:tcW w:type="dxa" w:w="3969"/>
            <w:shd w:fill="0B1020"/>
            <w:tcMar>
              <w:top w:w="90" w:type="dxa"/>
              <w:start w:w="90" w:type="dxa"/>
              <w:bottom w:w="90" w:type="dxa"/>
              <w:end w:w="90" w:type="dxa"/>
            </w:tcMar>
          </w:tcPr>
          <w:p>
            <w:r>
              <w:rPr>
                <w:b/>
                <w:color w:val="FFFFFF"/>
              </w:rPr>
              <w:t>Funktion</w:t>
            </w:r>
          </w:p>
        </w:tc>
        <w:tc>
          <w:tcPr>
            <w:tcW w:type="dxa" w:w="2268"/>
            <w:shd w:fill="0B1020"/>
            <w:tcMar>
              <w:top w:w="90" w:type="dxa"/>
              <w:start w:w="90" w:type="dxa"/>
              <w:bottom w:w="90" w:type="dxa"/>
              <w:end w:w="90" w:type="dxa"/>
            </w:tcMar>
          </w:tcPr>
          <w:p>
            <w:r>
              <w:rPr>
                <w:b/>
                <w:color w:val="FFFFFF"/>
              </w:rPr>
              <w:t>Status</w:t>
            </w:r>
          </w:p>
        </w:tc>
      </w:tr>
      <w:tr>
        <w:tc>
          <w:tcPr>
            <w:tcW w:type="dxa" w:w="2835"/>
            <w:tcMar>
              <w:top w:w="80" w:type="dxa"/>
              <w:start w:w="90" w:type="dxa"/>
              <w:bottom w:w="80" w:type="dxa"/>
              <w:end w:w="90" w:type="dxa"/>
            </w:tcMar>
            <w:shd w:fill="FBF8F1"/>
          </w:tcPr>
          <w:p>
            <w:r>
              <w:rPr>
                <w:b/>
                <w:color w:val="0B1020"/>
              </w:rPr>
              <w:t>KMU-Wirkungscheck</w:t>
            </w:r>
          </w:p>
        </w:tc>
        <w:tc>
          <w:tcPr>
            <w:tcW w:type="dxa" w:w="3969"/>
            <w:tcMar>
              <w:top w:w="80" w:type="dxa"/>
              <w:start w:w="90" w:type="dxa"/>
              <w:bottom w:w="80" w:type="dxa"/>
              <w:end w:w="90" w:type="dxa"/>
            </w:tcMar>
          </w:tcPr>
          <w:p>
            <w:r>
              <w:t>vereinfachte Erstdiagnose für kleine und mittlere Unternehmen</w:t>
            </w:r>
          </w:p>
        </w:tc>
        <w:tc>
          <w:tcPr>
            <w:tcW w:type="dxa" w:w="2268"/>
            <w:tcMar>
              <w:top w:w="80" w:type="dxa"/>
              <w:start w:w="90" w:type="dxa"/>
              <w:bottom w:w="80" w:type="dxa"/>
              <w:end w:w="90" w:type="dxa"/>
            </w:tcMar>
          </w:tcPr>
          <w:p>
            <w:r>
              <w:t>Konzept</w:t>
            </w:r>
          </w:p>
        </w:tc>
      </w:tr>
      <w:tr>
        <w:tc>
          <w:tcPr>
            <w:tcW w:type="dxa" w:w="2835"/>
            <w:tcMar>
              <w:top w:w="80" w:type="dxa"/>
              <w:start w:w="90" w:type="dxa"/>
              <w:bottom w:w="80" w:type="dxa"/>
              <w:end w:w="90" w:type="dxa"/>
            </w:tcMar>
            <w:shd w:fill="FBF8F1"/>
          </w:tcPr>
          <w:p>
            <w:r>
              <w:rPr>
                <w:b/>
                <w:color w:val="0B1020"/>
              </w:rPr>
              <w:t>Transformations-Reifegradmodell</w:t>
            </w:r>
          </w:p>
        </w:tc>
        <w:tc>
          <w:tcPr>
            <w:tcW w:type="dxa" w:w="3969"/>
            <w:tcMar>
              <w:top w:w="80" w:type="dxa"/>
              <w:start w:w="90" w:type="dxa"/>
              <w:bottom w:w="80" w:type="dxa"/>
              <w:end w:w="90" w:type="dxa"/>
            </w:tcMar>
          </w:tcPr>
          <w:p>
            <w:r>
              <w:t>ordnet Unternehmen in Stufen 0-5 ein</w:t>
            </w:r>
          </w:p>
        </w:tc>
        <w:tc>
          <w:tcPr>
            <w:tcW w:type="dxa" w:w="2268"/>
            <w:tcMar>
              <w:top w:w="80" w:type="dxa"/>
              <w:start w:w="90" w:type="dxa"/>
              <w:bottom w:w="80" w:type="dxa"/>
              <w:end w:w="90" w:type="dxa"/>
            </w:tcMar>
          </w:tcPr>
          <w:p>
            <w:r>
              <w:t>Konzept</w:t>
            </w:r>
          </w:p>
        </w:tc>
      </w:tr>
      <w:tr>
        <w:tc>
          <w:tcPr>
            <w:tcW w:type="dxa" w:w="2835"/>
            <w:tcMar>
              <w:top w:w="80" w:type="dxa"/>
              <w:start w:w="90" w:type="dxa"/>
              <w:bottom w:w="80" w:type="dxa"/>
              <w:end w:w="90" w:type="dxa"/>
            </w:tcMar>
            <w:shd w:fill="FBF8F1"/>
          </w:tcPr>
          <w:p>
            <w:r>
              <w:rPr>
                <w:b/>
                <w:color w:val="0B1020"/>
              </w:rPr>
              <w:t>Übergangspfad-Generator</w:t>
            </w:r>
          </w:p>
        </w:tc>
        <w:tc>
          <w:tcPr>
            <w:tcW w:type="dxa" w:w="3969"/>
            <w:tcMar>
              <w:top w:w="80" w:type="dxa"/>
              <w:start w:w="90" w:type="dxa"/>
              <w:bottom w:w="80" w:type="dxa"/>
              <w:end w:w="90" w:type="dxa"/>
            </w:tcMar>
          </w:tcPr>
          <w:p>
            <w:r>
              <w:t>erstellt Roadmap mit Maßnahmen, Daten und Verantwortlichkeiten</w:t>
            </w:r>
          </w:p>
        </w:tc>
        <w:tc>
          <w:tcPr>
            <w:tcW w:type="dxa" w:w="2268"/>
            <w:tcMar>
              <w:top w:w="80" w:type="dxa"/>
              <w:start w:w="90" w:type="dxa"/>
              <w:bottom w:w="80" w:type="dxa"/>
              <w:end w:w="90" w:type="dxa"/>
            </w:tcMar>
          </w:tcPr>
          <w:p>
            <w:r>
              <w:t>Konzept</w:t>
            </w:r>
          </w:p>
        </w:tc>
      </w:tr>
      <w:tr>
        <w:tc>
          <w:tcPr>
            <w:tcW w:type="dxa" w:w="2835"/>
            <w:tcMar>
              <w:top w:w="80" w:type="dxa"/>
              <w:start w:w="90" w:type="dxa"/>
              <w:bottom w:w="80" w:type="dxa"/>
              <w:end w:w="90" w:type="dxa"/>
            </w:tcMar>
            <w:shd w:fill="FBF8F1"/>
          </w:tcPr>
          <w:p>
            <w:r>
              <w:rPr>
                <w:b/>
                <w:color w:val="0B1020"/>
              </w:rPr>
              <w:t>Konversions-CapEx-Rechner</w:t>
            </w:r>
          </w:p>
        </w:tc>
        <w:tc>
          <w:tcPr>
            <w:tcW w:type="dxa" w:w="3969"/>
            <w:tcMar>
              <w:top w:w="80" w:type="dxa"/>
              <w:start w:w="90" w:type="dxa"/>
              <w:bottom w:w="80" w:type="dxa"/>
              <w:end w:w="90" w:type="dxa"/>
            </w:tcMar>
          </w:tcPr>
          <w:p>
            <w:r>
              <w:t>verbindet Kosten, Wirkung, Förderung und T-SROI</w:t>
            </w:r>
          </w:p>
        </w:tc>
        <w:tc>
          <w:tcPr>
            <w:tcW w:type="dxa" w:w="2268"/>
            <w:tcMar>
              <w:top w:w="80" w:type="dxa"/>
              <w:start w:w="90" w:type="dxa"/>
              <w:bottom w:w="80" w:type="dxa"/>
              <w:end w:w="90" w:type="dxa"/>
            </w:tcMar>
          </w:tcPr>
          <w:p>
            <w:r>
              <w:t>Konzept</w:t>
            </w:r>
          </w:p>
        </w:tc>
      </w:tr>
      <w:tr>
        <w:tc>
          <w:tcPr>
            <w:tcW w:type="dxa" w:w="2835"/>
            <w:tcMar>
              <w:top w:w="80" w:type="dxa"/>
              <w:start w:w="90" w:type="dxa"/>
              <w:bottom w:w="80" w:type="dxa"/>
              <w:end w:w="90" w:type="dxa"/>
            </w:tcMar>
            <w:shd w:fill="FBF8F1"/>
          </w:tcPr>
          <w:p>
            <w:r>
              <w:rPr>
                <w:b/>
                <w:color w:val="0B1020"/>
              </w:rPr>
              <w:t>Datenanforderungs-Mapper</w:t>
            </w:r>
          </w:p>
        </w:tc>
        <w:tc>
          <w:tcPr>
            <w:tcW w:type="dxa" w:w="3969"/>
            <w:tcMar>
              <w:top w:w="80" w:type="dxa"/>
              <w:start w:w="90" w:type="dxa"/>
              <w:bottom w:w="80" w:type="dxa"/>
              <w:end w:w="90" w:type="dxa"/>
            </w:tcMar>
          </w:tcPr>
          <w:p>
            <w:r>
              <w:t>bündelt Bank-, Kunden-, CSRD- und Versicherungsabfragen</w:t>
            </w:r>
          </w:p>
        </w:tc>
        <w:tc>
          <w:tcPr>
            <w:tcW w:type="dxa" w:w="2268"/>
            <w:tcMar>
              <w:top w:w="80" w:type="dxa"/>
              <w:start w:w="90" w:type="dxa"/>
              <w:bottom w:w="80" w:type="dxa"/>
              <w:end w:w="90" w:type="dxa"/>
            </w:tcMar>
          </w:tcPr>
          <w:p>
            <w:r>
              <w:t>Konzept</w:t>
            </w:r>
          </w:p>
        </w:tc>
      </w:tr>
    </w:tbl>
    <w:p/>
    <w:p>
      <w:pPr>
        <w:pStyle w:val="Heading1"/>
      </w:pPr>
      <w:r>
        <w:t>SDG-/SDG+-Bezug</w:t>
      </w:r>
    </w:p>
    <w:p>
      <w:r>
        <w:rPr>
          <w:rFonts w:ascii="Arial" w:hAnsi="Arial"/>
          <w:color w:val="4B4F56"/>
          <w:sz w:val="19"/>
        </w:rPr>
        <w:t>Transformation und KMU-Tauglichkeit berühren fast alle SDGs, weil Unternehmen in Lieferketten, Arbeit, Ressourcen, Innovation, Städten, Klima und Konsum wirken. Besonders relevant sind SDG 8, 9, 12, 13 und 17.</w:t>
      </w:r>
    </w:p>
    <w:p>
      <w:r>
        <w:rPr>
          <w:rFonts w:ascii="Arial" w:hAnsi="Arial"/>
          <w:color w:val="4B4F56"/>
          <w:sz w:val="19"/>
        </w:rPr>
        <w:t>SDG+ ist relevant, weil Übergang ohne Vertrauen, transparente Daten, faire Diskurse, institutionelle Glaubwürdigkeit und digitale Selbstbestimmung nicht gelingt. Wenn Transformation als Zwang, Täuschung oder Bürokratie erlebt wird, verliert sie Anschlussfähigkeit.</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268"/>
            <w:shd w:fill="0B1020"/>
            <w:tcMar>
              <w:top w:w="90" w:type="dxa"/>
              <w:start w:w="90" w:type="dxa"/>
              <w:bottom w:w="90" w:type="dxa"/>
              <w:end w:w="90" w:type="dxa"/>
            </w:tcMar>
          </w:tcPr>
          <w:p>
            <w:r>
              <w:rPr>
                <w:b/>
                <w:color w:val="FFFFFF"/>
              </w:rPr>
              <w:t>Referenz</w:t>
            </w:r>
          </w:p>
        </w:tc>
        <w:tc>
          <w:tcPr>
            <w:tcW w:type="dxa" w:w="6803"/>
            <w:shd w:fill="0B1020"/>
            <w:tcMar>
              <w:top w:w="90" w:type="dxa"/>
              <w:start w:w="90" w:type="dxa"/>
              <w:bottom w:w="90" w:type="dxa"/>
              <w:end w:w="90" w:type="dxa"/>
            </w:tcMar>
          </w:tcPr>
          <w:p>
            <w:r>
              <w:rPr>
                <w:b/>
                <w:color w:val="FFFFFF"/>
              </w:rPr>
              <w:t>Bedeutung</w:t>
            </w:r>
          </w:p>
        </w:tc>
      </w:tr>
      <w:tr>
        <w:tc>
          <w:tcPr>
            <w:tcW w:type="dxa" w:w="2268"/>
            <w:tcMar>
              <w:top w:w="80" w:type="dxa"/>
              <w:start w:w="90" w:type="dxa"/>
              <w:bottom w:w="80" w:type="dxa"/>
              <w:end w:w="90" w:type="dxa"/>
            </w:tcMar>
            <w:shd w:fill="FBF8F1"/>
          </w:tcPr>
          <w:p>
            <w:r>
              <w:rPr>
                <w:b/>
                <w:color w:val="0B1020"/>
              </w:rPr>
              <w:t>SDG 8</w:t>
            </w:r>
          </w:p>
        </w:tc>
        <w:tc>
          <w:tcPr>
            <w:tcW w:type="dxa" w:w="6803"/>
            <w:tcMar>
              <w:top w:w="80" w:type="dxa"/>
              <w:start w:w="90" w:type="dxa"/>
              <w:bottom w:w="80" w:type="dxa"/>
              <w:end w:w="90" w:type="dxa"/>
            </w:tcMar>
          </w:tcPr>
          <w:p>
            <w:r>
              <w:t>menschenwürdige Arbeit, Weiterbildung, Übergangsschutz</w:t>
            </w:r>
          </w:p>
        </w:tc>
      </w:tr>
      <w:tr>
        <w:tc>
          <w:tcPr>
            <w:tcW w:type="dxa" w:w="2268"/>
            <w:tcMar>
              <w:top w:w="80" w:type="dxa"/>
              <w:start w:w="90" w:type="dxa"/>
              <w:bottom w:w="80" w:type="dxa"/>
              <w:end w:w="90" w:type="dxa"/>
            </w:tcMar>
            <w:shd w:fill="FBF8F1"/>
          </w:tcPr>
          <w:p>
            <w:r>
              <w:rPr>
                <w:b/>
                <w:color w:val="0B1020"/>
              </w:rPr>
              <w:t>SDG 9</w:t>
            </w:r>
          </w:p>
        </w:tc>
        <w:tc>
          <w:tcPr>
            <w:tcW w:type="dxa" w:w="6803"/>
            <w:tcMar>
              <w:top w:w="80" w:type="dxa"/>
              <w:start w:w="90" w:type="dxa"/>
              <w:bottom w:w="80" w:type="dxa"/>
              <w:end w:w="90" w:type="dxa"/>
            </w:tcMar>
          </w:tcPr>
          <w:p>
            <w:r>
              <w:t>Innovation, Infrastruktur, industrielle Transformation</w:t>
            </w:r>
          </w:p>
        </w:tc>
      </w:tr>
      <w:tr>
        <w:tc>
          <w:tcPr>
            <w:tcW w:type="dxa" w:w="2268"/>
            <w:tcMar>
              <w:top w:w="80" w:type="dxa"/>
              <w:start w:w="90" w:type="dxa"/>
              <w:bottom w:w="80" w:type="dxa"/>
              <w:end w:w="90" w:type="dxa"/>
            </w:tcMar>
            <w:shd w:fill="FBF8F1"/>
          </w:tcPr>
          <w:p>
            <w:r>
              <w:rPr>
                <w:b/>
                <w:color w:val="0B1020"/>
              </w:rPr>
              <w:t>SDG 12</w:t>
            </w:r>
          </w:p>
        </w:tc>
        <w:tc>
          <w:tcPr>
            <w:tcW w:type="dxa" w:w="6803"/>
            <w:tcMar>
              <w:top w:w="80" w:type="dxa"/>
              <w:start w:w="90" w:type="dxa"/>
              <w:bottom w:w="80" w:type="dxa"/>
              <w:end w:w="90" w:type="dxa"/>
            </w:tcMar>
          </w:tcPr>
          <w:p>
            <w:r>
              <w:t>Kreislauf, Ressourcen, Produkte und Lieferketten</w:t>
            </w:r>
          </w:p>
        </w:tc>
      </w:tr>
      <w:tr>
        <w:tc>
          <w:tcPr>
            <w:tcW w:type="dxa" w:w="2268"/>
            <w:tcMar>
              <w:top w:w="80" w:type="dxa"/>
              <w:start w:w="90" w:type="dxa"/>
              <w:bottom w:w="80" w:type="dxa"/>
              <w:end w:w="90" w:type="dxa"/>
            </w:tcMar>
            <w:shd w:fill="FBF8F1"/>
          </w:tcPr>
          <w:p>
            <w:r>
              <w:rPr>
                <w:b/>
                <w:color w:val="0B1020"/>
              </w:rPr>
              <w:t>SDG 13</w:t>
            </w:r>
          </w:p>
        </w:tc>
        <w:tc>
          <w:tcPr>
            <w:tcW w:type="dxa" w:w="6803"/>
            <w:tcMar>
              <w:top w:w="80" w:type="dxa"/>
              <w:start w:w="90" w:type="dxa"/>
              <w:bottom w:w="80" w:type="dxa"/>
              <w:end w:w="90" w:type="dxa"/>
            </w:tcMar>
          </w:tcPr>
          <w:p>
            <w:r>
              <w:t>Klimapfade, Resilienz, Dekarbonisierung</w:t>
            </w:r>
          </w:p>
        </w:tc>
      </w:tr>
      <w:tr>
        <w:tc>
          <w:tcPr>
            <w:tcW w:type="dxa" w:w="2268"/>
            <w:tcMar>
              <w:top w:w="80" w:type="dxa"/>
              <w:start w:w="90" w:type="dxa"/>
              <w:bottom w:w="80" w:type="dxa"/>
              <w:end w:w="90" w:type="dxa"/>
            </w:tcMar>
            <w:shd w:fill="FBF8F1"/>
          </w:tcPr>
          <w:p>
            <w:r>
              <w:rPr>
                <w:b/>
                <w:color w:val="0B1020"/>
              </w:rPr>
              <w:t>SDG 17</w:t>
            </w:r>
          </w:p>
        </w:tc>
        <w:tc>
          <w:tcPr>
            <w:tcW w:type="dxa" w:w="6803"/>
            <w:tcMar>
              <w:top w:w="80" w:type="dxa"/>
              <w:start w:w="90" w:type="dxa"/>
              <w:bottom w:w="80" w:type="dxa"/>
              <w:end w:w="90" w:type="dxa"/>
            </w:tcMar>
          </w:tcPr>
          <w:p>
            <w:r>
              <w:t>Partnerschaften, Datenräume, gemeinsame Standards</w:t>
            </w:r>
          </w:p>
        </w:tc>
      </w:tr>
      <w:tr>
        <w:tc>
          <w:tcPr>
            <w:tcW w:type="dxa" w:w="2268"/>
            <w:tcMar>
              <w:top w:w="80" w:type="dxa"/>
              <w:start w:w="90" w:type="dxa"/>
              <w:bottom w:w="80" w:type="dxa"/>
              <w:end w:w="90" w:type="dxa"/>
            </w:tcMar>
            <w:shd w:fill="FBF8F1"/>
          </w:tcPr>
          <w:p>
            <w:r>
              <w:rPr>
                <w:b/>
                <w:color w:val="0B1020"/>
              </w:rPr>
              <w:t>SDG+</w:t>
            </w:r>
          </w:p>
        </w:tc>
        <w:tc>
          <w:tcPr>
            <w:tcW w:type="dxa" w:w="6803"/>
            <w:tcMar>
              <w:top w:w="80" w:type="dxa"/>
              <w:start w:w="90" w:type="dxa"/>
              <w:bottom w:w="80" w:type="dxa"/>
              <w:end w:w="90" w:type="dxa"/>
            </w:tcMar>
          </w:tcPr>
          <w:p>
            <w:r>
              <w:t>Vertrauen, Diskursfähigkeit, Rechtsstaatlichkeit, digitale Selbstbestimmung</w:t>
            </w:r>
          </w:p>
        </w:tc>
      </w:tr>
    </w:tbl>
    <w:p/>
    <w:p>
      <w:pPr>
        <w:pStyle w:val="Heading1"/>
      </w:pPr>
      <w:r>
        <w:t>Politische Anschlussfähigkeit und Umsetzungsoptionen</w:t>
      </w:r>
    </w:p>
    <w:p>
      <w:r>
        <w:rPr>
          <w:rFonts w:ascii="Arial" w:hAnsi="Arial"/>
          <w:color w:val="4B4F56"/>
          <w:sz w:val="19"/>
        </w:rPr>
        <w:t>Politisch ist dieser Unterbereich besonders wichtig, weil Transformation ohne Umsetzungsbereitschaft scheitert. Parteien können unterschiedliche Wege wählen: marktwirtschaftliche Anreize, Förderprogramme, Ordnungsrecht, steuerliche Entlastung, Beratungsinfrastruktur, öffentliche Beschaffung oder regionale Transformationscluster.</w:t>
      </w:r>
    </w:p>
    <w:p>
      <w:r>
        <w:rPr>
          <w:rFonts w:ascii="Arial" w:hAnsi="Arial"/>
          <w:color w:val="4B4F56"/>
          <w:sz w:val="19"/>
        </w:rPr>
        <w:t>Die Wirkungsökonomie legt nicht den einzig richtigen Pfad fest. Sie definiert den Rahmen: Wirkung sichtbar machen, Übergänge schützen, Missbrauch begrenzen, KMU entlasten, Daten standardisieren, Evaluation ermöglichen.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Ebene</w:t>
            </w:r>
          </w:p>
        </w:tc>
        <w:tc>
          <w:tcPr>
            <w:tcW w:type="dxa" w:w="6236"/>
            <w:shd w:fill="0B1020"/>
            <w:tcMar>
              <w:top w:w="90" w:type="dxa"/>
              <w:start w:w="90" w:type="dxa"/>
              <w:bottom w:w="90" w:type="dxa"/>
              <w:end w:w="90" w:type="dxa"/>
            </w:tcMar>
          </w:tcPr>
          <w:p>
            <w:r>
              <w:rPr>
                <w:b/>
                <w:color w:val="FFFFFF"/>
              </w:rPr>
              <w:t>Aufgabe</w:t>
            </w:r>
          </w:p>
        </w:tc>
      </w:tr>
      <w:tr>
        <w:tc>
          <w:tcPr>
            <w:tcW w:type="dxa" w:w="2835"/>
            <w:tcMar>
              <w:top w:w="80" w:type="dxa"/>
              <w:start w:w="90" w:type="dxa"/>
              <w:bottom w:w="80" w:type="dxa"/>
              <w:end w:w="90" w:type="dxa"/>
            </w:tcMar>
            <w:shd w:fill="FBF8F1"/>
          </w:tcPr>
          <w:p>
            <w:r>
              <w:rPr>
                <w:b/>
                <w:color w:val="0B1020"/>
              </w:rPr>
              <w:t>Aufgabe der Politik</w:t>
            </w:r>
          </w:p>
        </w:tc>
        <w:tc>
          <w:tcPr>
            <w:tcW w:type="dxa" w:w="6236"/>
            <w:tcMar>
              <w:top w:w="80" w:type="dxa"/>
              <w:start w:w="90" w:type="dxa"/>
              <w:bottom w:w="80" w:type="dxa"/>
              <w:end w:w="90" w:type="dxa"/>
            </w:tcMar>
          </w:tcPr>
          <w:p>
            <w:r>
              <w:t>Transformation ermöglichen, ohne Unternehmen durch Nachweischaos zu blockieren</w:t>
            </w:r>
          </w:p>
        </w:tc>
      </w:tr>
      <w:tr>
        <w:tc>
          <w:tcPr>
            <w:tcW w:type="dxa" w:w="2835"/>
            <w:tcMar>
              <w:top w:w="80" w:type="dxa"/>
              <w:start w:w="90" w:type="dxa"/>
              <w:bottom w:w="80" w:type="dxa"/>
              <w:end w:w="90" w:type="dxa"/>
            </w:tcMar>
            <w:shd w:fill="FBF8F1"/>
          </w:tcPr>
          <w:p>
            <w:r>
              <w:rPr>
                <w:b/>
                <w:color w:val="0B1020"/>
              </w:rPr>
              <w:t>Rahmenbedingungen</w:t>
            </w:r>
          </w:p>
        </w:tc>
        <w:tc>
          <w:tcPr>
            <w:tcW w:type="dxa" w:w="6236"/>
            <w:tcMar>
              <w:top w:w="80" w:type="dxa"/>
              <w:start w:w="90" w:type="dxa"/>
              <w:bottom w:w="80" w:type="dxa"/>
              <w:end w:w="90" w:type="dxa"/>
            </w:tcMar>
          </w:tcPr>
          <w:p>
            <w:r>
              <w:t>KMU-Profile, Branchenbenchmarks, Wirkungsfonds, Beratungsstellen, Datenräume</w:t>
            </w:r>
          </w:p>
        </w:tc>
      </w:tr>
      <w:tr>
        <w:tc>
          <w:tcPr>
            <w:tcW w:type="dxa" w:w="2835"/>
            <w:tcMar>
              <w:top w:w="80" w:type="dxa"/>
              <w:start w:w="90" w:type="dxa"/>
              <w:bottom w:w="80" w:type="dxa"/>
              <w:end w:w="90" w:type="dxa"/>
            </w:tcMar>
            <w:shd w:fill="FBF8F1"/>
          </w:tcPr>
          <w:p>
            <w:r>
              <w:rPr>
                <w:b/>
                <w:color w:val="0B1020"/>
              </w:rPr>
              <w:t>Ausgestaltungsspielraum</w:t>
            </w:r>
          </w:p>
        </w:tc>
        <w:tc>
          <w:tcPr>
            <w:tcW w:type="dxa" w:w="6236"/>
            <w:tcMar>
              <w:top w:w="80" w:type="dxa"/>
              <w:start w:w="90" w:type="dxa"/>
              <w:bottom w:w="80" w:type="dxa"/>
              <w:end w:w="90" w:type="dxa"/>
            </w:tcMar>
          </w:tcPr>
          <w:p>
            <w:r>
              <w:t>Tempo, Schwellenwerte, Förderung, Steueranreize, Ordnungsrecht, Pilotregionen</w:t>
            </w:r>
          </w:p>
        </w:tc>
      </w:tr>
      <w:tr>
        <w:tc>
          <w:tcPr>
            <w:tcW w:type="dxa" w:w="2835"/>
            <w:tcMar>
              <w:top w:w="80" w:type="dxa"/>
              <w:start w:w="90" w:type="dxa"/>
              <w:bottom w:w="80" w:type="dxa"/>
              <w:end w:w="90" w:type="dxa"/>
            </w:tcMar>
            <w:shd w:fill="FBF8F1"/>
          </w:tcPr>
          <w:p>
            <w:r>
              <w:rPr>
                <w:b/>
                <w:color w:val="0B1020"/>
              </w:rPr>
              <w:t>Zielkonflikte</w:t>
            </w:r>
          </w:p>
        </w:tc>
        <w:tc>
          <w:tcPr>
            <w:tcW w:type="dxa" w:w="6236"/>
            <w:tcMar>
              <w:top w:w="80" w:type="dxa"/>
              <w:start w:w="90" w:type="dxa"/>
              <w:bottom w:w="80" w:type="dxa"/>
              <w:end w:w="90" w:type="dxa"/>
            </w:tcMar>
          </w:tcPr>
          <w:p>
            <w:r>
              <w:t>Bürokratie, Wettbewerbsfähigkeit, soziale Abfederung, Investitionssicherheit, Wirksamkeit</w:t>
            </w:r>
          </w:p>
        </w:tc>
      </w:tr>
      <w:tr>
        <w:tc>
          <w:tcPr>
            <w:tcW w:type="dxa" w:w="2835"/>
            <w:tcMar>
              <w:top w:w="80" w:type="dxa"/>
              <w:start w:w="90" w:type="dxa"/>
              <w:bottom w:w="80" w:type="dxa"/>
              <w:end w:w="90" w:type="dxa"/>
            </w:tcMar>
            <w:shd w:fill="FBF8F1"/>
          </w:tcPr>
          <w:p>
            <w:r>
              <w:rPr>
                <w:b/>
                <w:color w:val="0B1020"/>
              </w:rPr>
              <w:t>Rollenverteilung</w:t>
            </w:r>
          </w:p>
        </w:tc>
        <w:tc>
          <w:tcPr>
            <w:tcW w:type="dxa" w:w="6236"/>
            <w:tcMar>
              <w:top w:w="80" w:type="dxa"/>
              <w:start w:w="90" w:type="dxa"/>
              <w:bottom w:w="80" w:type="dxa"/>
              <w:end w:w="90" w:type="dxa"/>
            </w:tcMar>
          </w:tcPr>
          <w:p>
            <w:r>
              <w:t>EU, Bund, Länder, Kommunen, Kammern, Banken, Versicherungen, Unternehmen, Wissenschaft</w:t>
            </w:r>
          </w:p>
        </w:tc>
      </w:tr>
      <w:tr>
        <w:tc>
          <w:tcPr>
            <w:tcW w:type="dxa" w:w="2835"/>
            <w:tcMar>
              <w:top w:w="80" w:type="dxa"/>
              <w:start w:w="90" w:type="dxa"/>
              <w:bottom w:w="80" w:type="dxa"/>
              <w:end w:w="90" w:type="dxa"/>
            </w:tcMar>
            <w:shd w:fill="FBF8F1"/>
          </w:tcPr>
          <w:p>
            <w:r>
              <w:rPr>
                <w:b/>
                <w:color w:val="0B1020"/>
              </w:rPr>
              <w:t>Schutz vor Technokratie</w:t>
            </w:r>
          </w:p>
        </w:tc>
        <w:tc>
          <w:tcPr>
            <w:tcW w:type="dxa" w:w="6236"/>
            <w:tcMar>
              <w:top w:w="80" w:type="dxa"/>
              <w:start w:w="90" w:type="dxa"/>
              <w:bottom w:w="80" w:type="dxa"/>
              <w:end w:w="90" w:type="dxa"/>
            </w:tcMar>
          </w:tcPr>
          <w:p>
            <w:r>
              <w:t>Wirkungsdaten sind Lern- und Entscheidungsgrundlage, kein automatischer Befehl</w:t>
            </w:r>
          </w:p>
        </w:tc>
      </w:tr>
    </w:tbl>
    <w:p/>
    <w:p>
      <w:pPr>
        <w:pStyle w:val="Heading1"/>
      </w:pPr>
      <w:r>
        <w:t>Website- und Portalintegration</w:t>
      </w:r>
    </w:p>
    <w:p>
      <w:r>
        <w:rPr>
          <w:rFonts w:ascii="Arial" w:hAnsi="Arial"/>
          <w:color w:val="4B4F56"/>
          <w:sz w:val="19"/>
        </w:rPr>
        <w:t>Dieses Detailkonzept gehört als Abschluss des Wirtschaft-&amp;-Unternehmen-Detailkonzeptpakets in den Bereich Transformation und Umsetzung. Es sollte mit Go 5 und Go 6 verlinkt werden: Unternehmen als Wirkungssysteme, Unternehmensführung, Risikomanagement, Lieferketten, Wirkungscontrolling, Produktentwicklung und Finanzkommunikation.</w:t>
      </w:r>
    </w:p>
    <w:p>
      <w:r>
        <w:rPr>
          <w:rFonts w:ascii="Arial" w:hAnsi="Arial"/>
          <w:color w:val="4B4F56"/>
          <w:sz w:val="19"/>
        </w:rPr>
        <w:t>Auf der Website sollte klar sichtbar sein: Das Portal-Grundkonzept bleibt bestehen; dieses Dokument ist eine Vertiefung für Umsetzung, KMU und Übergang. Toolkarten sollten Status anzeigen und keine Fake-Demos verlinken.</w:t>
      </w:r>
    </w:p>
    <w:p>
      <w:pPr>
        <w:pStyle w:val="Heading1"/>
      </w:pPr>
      <w:r>
        <w:t>Fazit</w:t>
      </w:r>
    </w:p>
    <w:p>
      <w:r>
        <w:rPr>
          <w:rFonts w:ascii="Arial" w:hAnsi="Arial"/>
          <w:color w:val="4B4F56"/>
          <w:sz w:val="19"/>
        </w:rPr>
        <w:t>Wirkungsökonomie braucht Umsetzungspfade, sonst bleibt sie Theorie. Unternehmen brauchen Klarheit, Schutz und Anreize, sonst wird Wirkung als Bürokratie erlebt. KMU brauchen Standardisierung, nicht Sonderchaos.</w:t>
      </w:r>
    </w:p>
    <w:p>
      <w:r>
        <w:rPr>
          <w:rFonts w:ascii="Arial" w:hAnsi="Arial"/>
          <w:color w:val="4B4F56"/>
          <w:sz w:val="19"/>
        </w:rPr>
        <w:t>Transformation ist dann erfolgreich, wenn sie Unternehmen nicht nur Pflichten auferlegt, sondern bessere Entscheidungen ermöglicht: bessere Produkte, stabilere Lieferketten, besserer Kapitalzugang, glaubwürdigere Kommunikation und mehr positive Netto-Wirkung.</w:t>
      </w:r>
    </w:p>
    <w:p>
      <w:pPr>
        <w:pStyle w:val="Heading1"/>
      </w:pPr>
      <w:r>
        <w:t>Quellen und Anschlussstellen</w:t>
      </w:r>
    </w:p>
    <w:p>
      <w:r>
        <w:rPr>
          <w:b/>
          <w:color w:val="0B1020"/>
        </w:rPr>
        <w:t xml:space="preserve">CSRD / Corporate Sustainability Reporting, European Commission: </w:t>
      </w:r>
      <w:r>
        <w:rPr>
          <w:color w:val="2F7D5C"/>
          <w:u w:val="single"/>
        </w:rPr>
        <w:t>https://finance.ec.europa.eu/financial-markets/company-reporting-and-auditing/company-reporting/corporate-sustainability-reporting_en</w:t>
      </w:r>
    </w:p>
    <w:p>
      <w:r>
        <w:rPr>
          <w:b/>
          <w:color w:val="0B1020"/>
        </w:rPr>
        <w:t xml:space="preserve">EU Taxonomy for sustainable activities, European Commission: </w:t>
      </w:r>
      <w:r>
        <w:rPr>
          <w:color w:val="2F7D5C"/>
          <w:u w:val="single"/>
        </w:rPr>
        <w:t>https://finance.ec.europa.eu/sustainable-finance/tools-and-standards/eu-taxonomy-sustainable-activities_en</w:t>
      </w:r>
    </w:p>
    <w:p>
      <w:r>
        <w:rPr>
          <w:b/>
          <w:color w:val="0B1020"/>
        </w:rPr>
        <w:t xml:space="preserve">Corporate Sustainability Due Diligence, European Commission: </w:t>
      </w:r>
      <w:r>
        <w:rPr>
          <w:color w:val="2F7D5C"/>
          <w:u w:val="single"/>
        </w:rPr>
        <w:t>https://commission.europa.eu/topics/business-and-industry/doing-business-eu/sustainability-due-diligence-responsible-business/corporate-sustainability-due-diligence_en</w:t>
      </w:r>
    </w:p>
    <w:p>
      <w:r>
        <w:rPr>
          <w:b/>
          <w:color w:val="0B1020"/>
        </w:rPr>
        <w:t xml:space="preserve">Ecodesign for Sustainable Products Regulation / Digital Product Passport, European Commission: </w:t>
      </w:r>
      <w:r>
        <w:rPr>
          <w:color w:val="2F7D5C"/>
          <w:u w:val="single"/>
        </w:rPr>
        <w:t>https://environment.ec.europa.eu/strategy/circular-economy/ecodesign-sustainable-products-regulation_en</w:t>
      </w:r>
    </w:p>
    <w:p>
      <w:r>
        <w:rPr>
          <w:b/>
          <w:color w:val="0B1020"/>
        </w:rPr>
        <w:t xml:space="preserve">EBA Guidelines on the management of ESG risks: </w:t>
      </w:r>
      <w:r>
        <w:rPr>
          <w:color w:val="2F7D5C"/>
          <w:u w:val="single"/>
        </w:rPr>
        <w:t>https://www.eba.europa.eu/activities/single-rulebook/regulatory-activities/sustainable-finance/guidelines-management-esg-risks</w:t>
      </w:r>
    </w:p>
    <w:p>
      <w:pPr>
        <w:pStyle w:val="Heading1"/>
      </w:pPr>
      <w:r>
        <w:t>Buchanker und interne Referenzen</w:t>
      </w:r>
    </w:p>
    <w:p>
      <w:pPr>
        <w:ind w:left="312" w:hanging="142"/>
      </w:pPr>
      <w:r>
        <w:rPr>
          <w:b/>
          <w:color w:val="2F7D5C"/>
        </w:rPr>
        <w:t xml:space="preserve">• </w:t>
      </w:r>
      <w:r>
        <w:rPr>
          <w:rFonts w:ascii="Arial" w:hAnsi="Arial"/>
          <w:color w:val="4B4F56"/>
          <w:sz w:val="19"/>
        </w:rPr>
        <w:t>Teil VII, Kapitel 47: Unternehmensrisiko und Transformation.</w:t>
      </w:r>
    </w:p>
    <w:p>
      <w:pPr>
        <w:ind w:left="312" w:hanging="142"/>
      </w:pPr>
      <w:r>
        <w:rPr>
          <w:b/>
          <w:color w:val="2F7D5C"/>
        </w:rPr>
        <w:t xml:space="preserve">• </w:t>
      </w:r>
      <w:r>
        <w:rPr>
          <w:rFonts w:ascii="Arial" w:hAnsi="Arial"/>
          <w:color w:val="4B4F56"/>
          <w:sz w:val="19"/>
        </w:rPr>
        <w:t>Teil XVI: Transformation, Übergänge und Implementierung.</w:t>
      </w:r>
    </w:p>
    <w:p>
      <w:pPr>
        <w:ind w:left="312" w:hanging="142"/>
      </w:pPr>
      <w:r>
        <w:rPr>
          <w:b/>
          <w:color w:val="2F7D5C"/>
        </w:rPr>
        <w:t xml:space="preserve">• </w:t>
      </w:r>
      <w:r>
        <w:rPr>
          <w:rFonts w:ascii="Arial" w:hAnsi="Arial"/>
          <w:color w:val="4B4F56"/>
          <w:sz w:val="19"/>
        </w:rPr>
        <w:t>Teil IX: Arbeit, Kapital, Wirkungsfonds und Wirkungseinkommen.</w:t>
      </w:r>
    </w:p>
    <w:p>
      <w:pPr>
        <w:ind w:left="312" w:hanging="142"/>
      </w:pPr>
      <w:r>
        <w:rPr>
          <w:b/>
          <w:color w:val="2F7D5C"/>
        </w:rPr>
        <w:t xml:space="preserve">• </w:t>
      </w:r>
      <w:r>
        <w:rPr>
          <w:rFonts w:ascii="Arial" w:hAnsi="Arial"/>
          <w:color w:val="4B4F56"/>
          <w:sz w:val="19"/>
        </w:rPr>
        <w:t>Systemmodell: Wirtschaft als Wirkungssystem, Kapital als Wirkungskraft und Staat als Rückkopplungsarchitekt.</w:t>
      </w:r>
    </w:p>
    <w:sectPr w:rsidR="00FC693F" w:rsidRPr="0006063C" w:rsidSect="00034616">
      <w:headerReference w:type="default" r:id="rId9"/>
      <w:footerReference w:type="default" r:id="rId10"/>
      <w:pgSz w:w="11906" w:h="16838"/>
      <w:pgMar w:top="1020" w:right="1020" w:bottom="964" w:left="1077"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4B4F56"/>
        <w:sz w:val="16"/>
      </w:rPr>
      <w:t xml:space="preserve">Natalie Weber · Wirkungsökonomie · Go 7 · Seite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b/>
        <w:color w:val="2F7D5C"/>
        <w:sz w:val="16"/>
      </w:rPr>
      <w:t>Wirkungsökonomie · Wirtschaft &amp; Unternehmen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eastAsia="Arial"/>
      <w:color w:val="4B4F56"/>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Theme="majorHAnsi" w:eastAsiaTheme="majorEastAsia" w:hAnsiTheme="majorHAnsi" w:cstheme="majorBidi" w:ascii="Georgia" w:hAnsi="Georgia" w:eastAsia="Georgia"/>
      <w:b/>
      <w:bCs/>
      <w:color w:val="0B1020"/>
      <w:sz w:val="34"/>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Theme="majorHAnsi" w:eastAsiaTheme="majorEastAsia" w:hAnsiTheme="majorHAnsi" w:cstheme="majorBidi" w:ascii="Georgia" w:hAnsi="Georgia" w:eastAsia="Georgia"/>
      <w:b/>
      <w:bCs/>
      <w:color w:val="0B1020"/>
      <w:sz w:val="26"/>
      <w:szCs w:val="26"/>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Theme="majorHAnsi" w:eastAsiaTheme="majorEastAsia" w:hAnsiTheme="majorHAnsi" w:cstheme="majorBidi" w:ascii="Georgia" w:hAnsi="Georgia" w:eastAsia="Georgia"/>
      <w:b/>
      <w:bCs/>
      <w:color w:val="0B102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b/>
      <w:color w:val="0B1020"/>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