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Source Sans 3" w:hAnsi="Source Sans 3"/>
          <w:b/>
          <w:caps/>
          <w:color w:val="277D5C"/>
          <w:sz w:val="19"/>
        </w:rPr>
        <w:t>WIRKUNGSÖKONOMIE</w:t>
      </w:r>
    </w:p>
    <w:p>
      <w:pPr>
        <w:spacing w:after="40"/>
        <w:jc w:val="left"/>
      </w:pPr>
      <w:r>
        <w:rPr>
          <w:rFonts w:ascii="Source Sans 3" w:hAnsi="Source Sans 3"/>
          <w:b/>
          <w:caps/>
          <w:color w:val="277D5C"/>
          <w:sz w:val="19"/>
        </w:rPr>
        <w:t>DETAILKONZEPT</w:t>
      </w:r>
    </w:p>
    <w:p>
      <w:pPr>
        <w:pStyle w:val="Title"/>
        <w:spacing w:after="120"/>
      </w:pPr>
      <w:r>
        <w:rPr>
          <w:rFonts w:ascii="Playfair Display" w:hAnsi="Playfair Display"/>
          <w:b/>
          <w:color w:val="0A1022"/>
          <w:sz w:val="50"/>
        </w:rPr>
        <w:t>Wirkungsrat, Governance, Rechtsschutz und demokratische Kontrolle</w:t>
      </w:r>
    </w:p>
    <w:p>
      <w:pPr>
        <w:spacing w:after="280"/>
      </w:pPr>
      <w:r>
        <w:rPr>
          <w:rFonts w:ascii="Source Sans 3" w:hAnsi="Source Sans 3"/>
          <w:color w:val="277D5C"/>
          <w:sz w:val="25"/>
        </w:rPr>
        <w:t>Institutionelle Sicherung der Wirkungsökonomie gegen Lobbyismus, Greenwashing, Technokratie und Messmissbrauch</w:t>
      </w:r>
    </w:p>
    <w:tbl>
      <w:tblPr>
        <w:tblW w:type="auto" w:w="0"/>
        <w:jc w:val="left"/>
        <w:tblLayout w:type="autofit"/>
        <w:tblLook w:firstColumn="1" w:firstRow="1" w:lastColumn="0" w:lastRow="0" w:noHBand="0" w:noVBand="1" w:val="04A0"/>
      </w:tblPr>
      <w:tblGrid>
        <w:gridCol w:w="4986"/>
        <w:gridCol w:w="4986"/>
      </w:tblGrid>
      <w:tr>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Autorin</w:t>
            </w:r>
          </w:p>
        </w:tc>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sz w:val="19"/>
              </w:rPr>
              <w:t>Natalie Weber</w:t>
            </w:r>
          </w:p>
        </w:tc>
      </w:tr>
      <w:tr>
        <w:tc>
          <w:tcPr>
            <w:tcW w:type="dxa" w:w="4986"/>
            <w:shd w:fill="FAF8F3"/>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Referenz</w:t>
            </w:r>
          </w:p>
        </w:tc>
        <w:tc>
          <w:tcPr>
            <w:tcW w:type="dxa" w:w="4986"/>
            <w:shd w:fill="FAF8F3"/>
            <w:tcBorders>
              <w:top w:val="single" w:sz="6" w:color="D9D3C7"/>
              <w:left w:val="single" w:sz="6" w:color="D9D3C7"/>
              <w:bottom w:val="single" w:sz="6" w:color="D9D3C7"/>
              <w:right w:val="single" w:sz="6" w:color="D9D3C7"/>
            </w:tcBorders>
            <w:vAlign w:val="center"/>
          </w:tcPr>
          <w:p>
            <w:r>
              <w:rPr>
                <w:rFonts w:ascii="Source Sans 3" w:hAnsi="Source Sans 3"/>
                <w:sz w:val="19"/>
              </w:rPr>
              <w:t>Wirkungsökonomie</w:t>
            </w:r>
          </w:p>
        </w:tc>
      </w:tr>
      <w:tr>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Version</w:t>
            </w:r>
          </w:p>
        </w:tc>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sz w:val="19"/>
              </w:rPr>
              <w:t>v1.0</w:t>
            </w:r>
          </w:p>
        </w:tc>
      </w:tr>
      <w:tr>
        <w:tc>
          <w:tcPr>
            <w:tcW w:type="dxa" w:w="4986"/>
            <w:shd w:fill="FAF8F3"/>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Status</w:t>
            </w:r>
          </w:p>
        </w:tc>
        <w:tc>
          <w:tcPr>
            <w:tcW w:type="dxa" w:w="4986"/>
            <w:shd w:fill="FAF8F3"/>
            <w:tcBorders>
              <w:top w:val="single" w:sz="6" w:color="D9D3C7"/>
              <w:left w:val="single" w:sz="6" w:color="D9D3C7"/>
              <w:bottom w:val="single" w:sz="6" w:color="D9D3C7"/>
              <w:right w:val="single" w:sz="6" w:color="D9D3C7"/>
            </w:tcBorders>
            <w:vAlign w:val="center"/>
          </w:tcPr>
          <w:p>
            <w:r>
              <w:rPr>
                <w:rFonts w:ascii="Source Sans 3" w:hAnsi="Source Sans 3"/>
                <w:sz w:val="19"/>
              </w:rPr>
              <w:t>öffentliche Ausarbeitung / Detailkonzept</w:t>
            </w:r>
          </w:p>
        </w:tc>
      </w:tr>
      <w:tr>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b/>
                <w:color w:val="277D5C"/>
                <w:sz w:val="19"/>
              </w:rPr>
              <w:t>Stand</w:t>
            </w:r>
          </w:p>
        </w:tc>
        <w:tc>
          <w:tcPr>
            <w:tcW w:type="dxa" w:w="4986"/>
            <w:shd w:fill="F6F1E8"/>
            <w:tcBorders>
              <w:top w:val="single" w:sz="6" w:color="D9D3C7"/>
              <w:left w:val="single" w:sz="6" w:color="D9D3C7"/>
              <w:bottom w:val="single" w:sz="6" w:color="D9D3C7"/>
              <w:right w:val="single" w:sz="6" w:color="D9D3C7"/>
            </w:tcBorders>
            <w:vAlign w:val="center"/>
          </w:tcPr>
          <w:p>
            <w:r>
              <w:rPr>
                <w:rFonts w:ascii="Source Sans 3" w:hAnsi="Source Sans 3"/>
                <w:sz w:val="19"/>
              </w:rPr>
              <w:t>24. Mai 2026</w:t>
            </w:r>
          </w:p>
        </w:tc>
      </w:tr>
    </w:tbl>
    <w:p>
      <w:pPr>
        <w:spacing w:before="360"/>
      </w:pPr>
      <w:r>
        <w:rPr>
          <w:rFonts w:ascii="Playfair Display" w:hAnsi="Playfair Display"/>
          <w:i/>
          <w:color w:val="0A1022"/>
          <w:sz w:val="30"/>
        </w:rPr>
        <w:t>„Wirkungsdaten brauchen eine Institution, die sie schützt - und eine Demokratie, die sie begrenzt.“</w:t>
      </w:r>
    </w:p>
    <w:p>
      <w:r>
        <w:br w:type="page"/>
      </w:r>
    </w:p>
    <w:p>
      <w:pPr>
        <w:pStyle w:val="Heading1"/>
      </w:pPr>
      <w:r>
        <w:t>Kurzprofil</w:t>
      </w:r>
    </w:p>
    <w:tbl>
      <w:tblPr>
        <w:tblW w:type="auto" w:w="0"/>
        <w:jc w:val="center"/>
        <w:tblLook w:firstColumn="1" w:firstRow="1" w:lastColumn="0" w:lastRow="0" w:noHBand="0" w:noVBand="1" w:val="04A0"/>
      </w:tblPr>
      <w:tblGrid>
        <w:gridCol w:w="4986"/>
        <w:gridCol w:w="4986"/>
      </w:tblGrid>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Dokumenttyp</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Öffentliches Detailkonzept</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Zugehöriges Portal</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Staat, Recht &amp; Demokratie</w:t>
            </w:r>
          </w:p>
        </w:tc>
      </w:tr>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Unterbereich</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Wirkungsrat, Governance, Assurance, Rechtsschutz, demokratische Kontrolle</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Autorin</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Natalie Weber · Wirkungsökonomie</w:t>
            </w:r>
          </w:p>
        </w:tc>
      </w:tr>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Öffentlichkeit</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Enthält keine internen CodeX-/Repository-Anweisungen</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Hinweis</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Konzeptionelle Arbeitsfassung; keine Rechts-, Steuer-, Anlage- oder Finanzierungsberatung</w:t>
            </w:r>
          </w:p>
        </w:tc>
      </w:tr>
    </w:tbl>
    <w:p>
      <w:pPr>
        <w:pStyle w:val="Heading1"/>
      </w:pPr>
      <w:r>
        <w:t>Inhaltsübersicht</w:t>
      </w:r>
    </w:p>
    <w:p>
      <w:pPr>
        <w:spacing w:after="40"/>
        <w:ind w:left="170"/>
      </w:pPr>
      <w:r>
        <w:t>1. Executive Summary</w:t>
      </w:r>
    </w:p>
    <w:p>
      <w:pPr>
        <w:spacing w:after="40"/>
        <w:ind w:left="170"/>
      </w:pPr>
      <w:r>
        <w:t>2. Ausgangsdiagnose: Warum Wirkung Governance braucht</w:t>
      </w:r>
    </w:p>
    <w:p>
      <w:pPr>
        <w:spacing w:after="40"/>
        <w:ind w:left="170"/>
      </w:pPr>
      <w:r>
        <w:t>3. Rolle und Auftrag des Wirkungsrats</w:t>
      </w:r>
    </w:p>
    <w:p>
      <w:pPr>
        <w:spacing w:after="40"/>
        <w:ind w:left="170"/>
      </w:pPr>
      <w:r>
        <w:t>4. Zusammensetzung und Schutz vor Dominanz</w:t>
      </w:r>
    </w:p>
    <w:p>
      <w:pPr>
        <w:spacing w:after="40"/>
        <w:ind w:left="170"/>
      </w:pPr>
      <w:r>
        <w:t>5. Assurance, Datenqualität und Prüfarchitektur</w:t>
      </w:r>
    </w:p>
    <w:p>
      <w:pPr>
        <w:spacing w:after="40"/>
        <w:ind w:left="170"/>
      </w:pPr>
      <w:r>
        <w:t>6. Rechtsschutz und Verfahrensfairness</w:t>
      </w:r>
    </w:p>
    <w:p>
      <w:pPr>
        <w:spacing w:after="40"/>
        <w:ind w:left="170"/>
      </w:pPr>
      <w:r>
        <w:t>7. Demokratische Kontrolle und öffentliche Beteiligung</w:t>
      </w:r>
    </w:p>
    <w:p>
      <w:pPr>
        <w:spacing w:after="40"/>
        <w:ind w:left="170"/>
      </w:pPr>
      <w:r>
        <w:t>8. Politische Anschlussfähigkeit und Umsetzungsoptionen</w:t>
      </w:r>
    </w:p>
    <w:p>
      <w:pPr>
        <w:spacing w:after="40"/>
        <w:ind w:left="170"/>
      </w:pPr>
      <w:r>
        <w:t>9. Website- und Portalintegration</w:t>
      </w:r>
    </w:p>
    <w:p>
      <w:pPr>
        <w:spacing w:after="40"/>
        <w:ind w:left="170"/>
      </w:pPr>
      <w:r>
        <w:t>10. Quellen und Anschlussdokumente</w:t>
      </w:r>
    </w:p>
    <w:p>
      <w:pPr>
        <w:spacing w:after="40"/>
        <w:ind w:left="170"/>
      </w:pPr>
      <w:r>
        <w:t>11. Fazit</w:t>
      </w:r>
    </w:p>
    <w:p>
      <w:r>
        <w:br w:type="page"/>
      </w:r>
    </w:p>
    <w:p>
      <w:pPr>
        <w:pStyle w:val="Heading1"/>
      </w:pPr>
      <w:r>
        <w:t>Executive Summary</w:t>
      </w:r>
    </w:p>
    <w:p>
      <w:r>
        <w:t>Dieses Detailkonzept beschreibt den Wirkungsrat als institutionelle Sicherung der Wirkungsökonomie. Wenn Wirkung in Preise, Steuern, Kapitalzugang, öffentliche Haushalte und Unternehmenssteuerung zurückgeführt wird, entsteht eine neue Macht: die Macht, Wirkungsmaßstäbe zu definieren. Diese Macht darf weder Kapitalinteressen noch parteipolitischer Vereinnahmung noch technokratischen Expertensystemen überlassen werden.</w:t>
      </w:r>
    </w:p>
    <w:p>
      <w:r>
        <w:t>Der Wirkungsrat ist deshalb keine Regierungsabteilung und kein Unternehmensbeirat. Er ist ein plural zusammengesetztes, öffentlich kontrolliertes, wissenschaftlich fundiertes und demokratisch begrenztes Gremium. Seine Aufgabe ist die Weiterentwicklung von WÖk-IDs, Benchmarks, Archetypen, Datenqualitätsregeln, Wirkungsberichten und Missbrauchsschutz. Er entscheidet nicht über jede politische Maßnahme. Er schafft die methodische Grundlage, auf der demokratische Entscheidungen besser getroffen werden können.</w:t>
      </w:r>
    </w:p>
    <w:p>
      <w:r>
        <w:t>Rechtsschutz ist dabei kein Zusatz, sondern Kernbestandteil. Unternehmen, Bürger:innen, Kommunen und Organisationen müssen Entscheidungen prüfen lassen können. Umgekehrt muss die Öffentlichkeit geschützt werden vor Greenwashing, Impact-Washing, Datenverweigerung, Lobbydruck und algorithmischer Intransparenz.</w:t>
      </w:r>
    </w:p>
    <w:p>
      <w:pPr>
        <w:pStyle w:val="Heading1"/>
      </w:pPr>
      <w:r>
        <w:t>Ausgangsdiagnose: Warum Wirkung Governance braucht</w:t>
      </w:r>
    </w:p>
    <w:p>
      <w:r>
        <w:t>Wirkungsmessung ist machtvoll. Sobald Scores, Benchmarks oder Indikatoren in Steuern, Finanzierung oder öffentliche Entscheidungen eingehen, entstehen Anreize, diese Messlogik zu beeinflussen. Das ist kein Sonderproblem der Wirkungsökonomie; es gilt für jede Kennzahl. Was relevant wird, wird umkämpft.</w:t>
      </w:r>
    </w:p>
    <w:p>
      <w:r>
        <w:t>Deshalb braucht die Wirkungsökonomie eine Institution, die nicht selbst politischer Akteur im parteipolitischen Sinn ist, aber demokratisch verantwortlich bleibt. Sie muss wissenschaftliche Qualität sichern, ohne Expertokratie zu erzeugen. Sie muss Wirtschaft einbinden, ohne Unternehmensinteressen zu dominieren. Sie muss Zivilgesellschaft beteiligen, ohne Aktivismus zur alleinigen Norm zu machen.</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Risiko</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Wirkungsökonomische Gefahr</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Governance-Antwort</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Lobbyismus</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Benchmarks werden zugunsten starker Branchen verwässert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Offenlegung, Rotation, Cooling-off, öffentliche Konsultation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Greenwashing/Impact-Washing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Positive Wirkung wird simuliert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Assurance, Reverse Merit Order, Datenqualitätsklassen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Technokratie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Messung ersetzt demokratische Bewertung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Parlamentarische Kontrolle, Rechtsschutz, normative Grenzen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Datenmissbrauch</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Wirkungsdaten werden zur Personenbewertung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Datenschutz, keine Social-Credit-Logik, Zweckbindung</w:t>
            </w:r>
          </w:p>
        </w:tc>
      </w:tr>
    </w:tbl>
    <w:p/>
    <w:p>
      <w:pPr>
        <w:pStyle w:val="Heading1"/>
      </w:pPr>
      <w:r>
        <w:t>Rolle und Auftrag des Wirkungsrats</w:t>
      </w:r>
    </w:p>
    <w:p>
      <w:r>
        <w:t>Der Wirkungsrat ist die Wächterinstitution der Wirkungslogik. Er garantiert nicht, dass jede Entscheidung richtig ist. Er garantiert, dass die Regeln der Wirkungsbewertung transparent, lernfähig, wissenschaftlich anschlussfähig und öffentlich überprüfbar bleiben.</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Aufgabe</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Beschreibung</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Output</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WÖk-ID-Register</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Pflege, Ergänzung und Versionierung der Indikatorenarchitektur</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öffentliches Register, Änderungsprotokolle</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Benchmarks und Archetypen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Sektorale Schwellenwerte, Score-Funktionen, Datenqualitätsregeln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technische Leitlinien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Evaluation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Dreijährige Überprüfung der Methodik und Anwendung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Evaluationsbericht, Anpassungsvorschläge</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Wirkungsberichte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Jährliche Lageberichte zur Wirkung in Staat, Wirtschaft und Gesellschaft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Wirkungsbarometer</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Missbrauchsschutz</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Greenwashing, Lobbydruck, Manipulation, KPI-Gaming sichtbar machen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Warnberichte, Sondergutachten</w:t>
            </w:r>
          </w:p>
        </w:tc>
      </w:tr>
    </w:tbl>
    <w:p/>
    <w:p>
      <w:pPr>
        <w:pStyle w:val="Heading1"/>
      </w:pPr>
      <w:r>
        <w:t>Zusammensetzung und Schutz vor Dominanz</w:t>
      </w:r>
    </w:p>
    <w:p>
      <w:r>
        <w:t>Die Zusammensetzung muss plural sein. Kein Akteur darf das Gremium dominieren. Wissenschaft bringt methodische Qualität ein. Zivilgesellschaft achtet auf Umwelt, Soziales und Demokratie. Wirtschaft bringt Umsetzbarkeit und Datenrealität ein. Verwaltung kennt Vollzug und Verfahren. Bürger:innen im Losverfahren schaffen demokratische Rückbindung und Alltagsperspektive.</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Gruppe</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Beitrag</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Begrenzung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Wissenschaft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Methodik, Evidenz, Unsicherheit, Peer Review</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keine Expertokratie, öffentliche Begründungspflicht</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Zivilgesellschaft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Gemeinwohlperspektive, Umwelt, Soziales, Demokratie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Transparenz über Interessen und Finanzierung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Wirtschaft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Praxis, Datenlage, KMU-Tauglichkeit, Investitionsrealität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kein dominanter Stimmenanteil, Interessenoffenlegung</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Politik/Verwaltung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Rechts- und Vollzugswissen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keine Regierungsmehrheit im Rat</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Bürger:innen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Alltag, Betroffenheit, demokratische Perspektive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Rotation, Begleitung, Verständlichkeitsformate</w:t>
            </w:r>
          </w:p>
        </w:tc>
      </w:tr>
    </w:tbl>
    <w:p/>
    <w:p>
      <w:pPr>
        <w:pStyle w:val="Heading1"/>
      </w:pPr>
      <w:r>
        <w:t>Assurance, Datenqualität und Prüfarchitektur</w:t>
      </w:r>
    </w:p>
    <w:p>
      <w:r>
        <w:t>Wirkungsdaten müssen prüfbar sein. Das bedeutet nicht, dass jede Wirkung mit absoluter Sicherheit erfasst werden kann. Es bedeutet, dass Datenherkunft, Messmethode, Unsicherheit, Annahmen und Grenzen offengelegt werden. Datenqualität wird selbst Teil der Bewertung.</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Datenklasse</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Beschreibung</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Behandlung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 - geprüft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Auditierte Primärdaten, klare Quelle, aktuelle Methodik</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voll anrechenbar</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B - plausibilisiert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Primärdaten mit begrenzter Prüfung oder konsistente Sekundärdaten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anrechenbar mit Unsicherheitsfaktor</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C - geschätzt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Modellwerte, Branchenwerte, Proxy-Daten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konservativer Ansatz</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 - unklar</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fehlende oder widersprüchliche Daten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keine Vorteile durch Nicht-Daten; neutrale oder risikobasierte Einstufung</w:t>
            </w:r>
          </w:p>
        </w:tc>
      </w:tr>
    </w:tbl>
    <w:p/>
    <w:p>
      <w:pPr>
        <w:pStyle w:val="Heading1"/>
      </w:pPr>
      <w:r>
        <w:t>Rechtsschutz und Verfahrensfairness</w:t>
      </w:r>
    </w:p>
    <w:p>
      <w:r>
        <w:t>Eine wirkungsbasierte Ordnung braucht starke Verfahrensrechte. Betroffene müssen wissen, welche Daten verwendet wurden, welche Indikatoren einschlägig sind, wie Scores zustande kommen und wie sie Einwände vorbringen können. Ohne Rechtsschutz würde Wirkungssteuerung zur Black Box.</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Rechtsschutzfeld</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Mindestanforderung</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Warum wichtig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Transparenz</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Begründung der Einstufung und Datenquellen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Nachvollziehbarkeit</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Korrektur</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Möglichkeit, bessere Daten nachzureichen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Fairness und Lernfähigkeit</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Einspruch</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Verwaltungsrechtlicher Widerspruch und gerichtliche Prüfung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Grundrechtsschutz</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Fristen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klare Übergänge, keine rückwirkende Überforderung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Investitionssicherheit</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KMU-Schutz</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vereinfachte Verfahren und Beratung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Verhältnismäßigkeit</w:t>
            </w:r>
          </w:p>
        </w:tc>
      </w:tr>
    </w:tbl>
    <w:p/>
    <w:p>
      <w:pPr>
        <w:pStyle w:val="Heading1"/>
      </w:pPr>
      <w:r>
        <w:t>Demokratische Kontrolle und öffentliche Beteiligung</w:t>
      </w:r>
    </w:p>
    <w:p>
      <w:r>
        <w:t>Der Wirkungsrat darf nicht außerhalb demokratischer Kontrolle stehen. Er braucht gesetzliche Grundlage, Berichtspflichten gegenüber Parlament und Öffentlichkeit, öffentliche Konsultationen, Minderheitsvoten, Dokumentationspflichten und Revisionszyklen. Demokratische Kontrolle bedeutet nicht, dass jede Benchmark parteipolitisch verhandelt wird. Sie bedeutet, dass normative Entscheidungen, institutionelle Macht und methodische Änderungen öffentlich verantwortet werden.</w:t>
      </w:r>
    </w:p>
    <w:p>
      <w:pPr>
        <w:ind w:left="283" w:hanging="142"/>
      </w:pPr>
      <w:r>
        <w:t>• Jährlicher Wirkungsbericht an Parlament und Öffentlichkeit.</w:t>
      </w:r>
    </w:p>
    <w:p>
      <w:pPr>
        <w:ind w:left="283" w:hanging="142"/>
      </w:pPr>
      <w:r>
        <w:t>• Öffentliche Konsultation bei wesentlichen Methodikänderungen.</w:t>
      </w:r>
    </w:p>
    <w:p>
      <w:pPr>
        <w:ind w:left="283" w:hanging="142"/>
      </w:pPr>
      <w:r>
        <w:t>• Minderheitsvoten und Begründung abweichender Einschätzungen.</w:t>
      </w:r>
    </w:p>
    <w:p>
      <w:pPr>
        <w:ind w:left="283" w:hanging="142"/>
      </w:pPr>
      <w:r>
        <w:t>• Offenes Register für WÖk-IDs, Benchmarks, Versionen und Änderungsbegründungen.</w:t>
      </w:r>
    </w:p>
    <w:p>
      <w:pPr>
        <w:ind w:left="283" w:hanging="142"/>
      </w:pPr>
      <w:r>
        <w:t>• Externe wissenschaftliche Evaluation in festgelegten Zyklen.</w:t>
      </w:r>
    </w:p>
    <w:p>
      <w:pPr>
        <w:pStyle w:val="Heading1"/>
      </w:pPr>
      <w:r>
        <w:t>Politische Anschlussfähigkeit und Umsetzungsoptionen</w:t>
      </w:r>
    </w:p>
    <w:tbl>
      <w:tblPr>
        <w:tblW w:type="auto" w:w="0"/>
        <w:jc w:val="center"/>
        <w:tblLayout w:type="autofit"/>
        <w:tblLook w:firstColumn="1" w:firstRow="1" w:lastColumn="0" w:lastRow="0" w:noHBand="0" w:noVBand="1" w:val="04A0"/>
      </w:tblPr>
      <w:tblGrid>
        <w:gridCol w:w="4986"/>
        <w:gridCol w:w="4986"/>
      </w:tblGrid>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Ebene</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Aufgabe für Politik und Umsetzung</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Aufgabe der Politik</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Unabhängige Wirkungsgovernance schaffen, ohne politische Entscheidung zu delegieren.</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Politische Rahmenbedingungen</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Gesetzliche Grundlage, Sitzverteilung, Finanzierung, Transparenzpflichten, Rechtsschutz.</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Ausgestaltungsspielraum</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Parlamentarische Anbindung, föderale Beteiligung, Amtszeiten, Konsultationsformate, Budget.</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Zielkonflikte</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Unabhängigkeit vs. demokratische Kontrolle; Expertise vs. Verständlichkeit; Stabilität vs. Lernfähigkeit.</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Übergang und Schutz</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Pilotphase, Ombudsstelle, KMU-Beratung, Datenqualitätsklassen, keine abrupten Sanktionen.</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Evaluation und Korrektur</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Dreijahresrevision, externe Gutachten, öffentliche Anhörungen, Fehlerbericht.</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Schutz vor Technokratie</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Wirkungsrat setzt Methodik, aber keine politische Endentscheidung über Prioritäten.</w:t>
            </w:r>
          </w:p>
        </w:tc>
      </w:tr>
    </w:tbl>
    <w:p/>
    <w:p>
      <w:pPr>
        <w:pStyle w:val="Heading1"/>
      </w:pPr>
      <w:r>
        <w:t>Website- und Portalintegration</w:t>
      </w:r>
    </w:p>
    <w:p>
      <w:pPr>
        <w:ind w:left="283" w:hanging="142"/>
      </w:pPr>
      <w:r>
        <w:t>• URL-Vorschlag: /wirkungsfelder/staat-recht-demokratie/wirkungsrat-governance/</w:t>
      </w:r>
    </w:p>
    <w:p>
      <w:pPr>
        <w:ind w:left="283" w:hanging="142"/>
      </w:pPr>
      <w:r>
        <w:t>• Verlinkung zu WÖk-IDs, Scorecards, T-SROI, WStG, Wirkungshaushalt, SDG-/SDG+-Referenzrahmen.</w:t>
      </w:r>
    </w:p>
    <w:p>
      <w:pPr>
        <w:ind w:left="283" w:hanging="142"/>
      </w:pPr>
      <w:r>
        <w:t>• Toolkarten: WÖk-ID-Browser, Wirkungsrat-Schema, Benchmark-Register, Konsultationsmodul, Rechtsschutzpfad.</w:t>
      </w:r>
    </w:p>
    <w:p>
      <w:pPr>
        <w:ind w:left="283" w:hanging="142"/>
      </w:pPr>
      <w:r>
        <w:t>• Öffentliche Erklärung: Der Wirkungsrat ist Schutz gegen Lobbyismus und Technokratie, nicht Ersatz für Demokratie.</w:t>
      </w:r>
    </w:p>
    <w:p>
      <w:pPr>
        <w:pStyle w:val="Heading1"/>
      </w:pPr>
      <w:r>
        <w:t>Quellen und Anschlussdokumente</w:t>
      </w:r>
    </w:p>
    <w:p>
      <w:pPr>
        <w:ind w:left="283" w:hanging="142"/>
      </w:pPr>
      <w:r>
        <w:t>• Natalie Weber: Die neue Ordnung des Wohlstands, insbesondere Teile V, VI, VII, VIII und X.</w:t>
      </w:r>
    </w:p>
    <w:p>
      <w:pPr>
        <w:ind w:left="283" w:hanging="142"/>
      </w:pPr>
      <w:r>
        <w:t>• Natalie Weber: Working-Paper Wirkungssteuergesetz (WStG), Oktober 2025.</w:t>
      </w:r>
    </w:p>
    <w:p>
      <w:pPr>
        <w:ind w:left="283" w:hanging="142"/>
      </w:pPr>
      <w:r>
        <w:t>• Natalie Weber: Der Wirkungsrat - Institutionelle Verankerung der Wirkungsökonomie, September 2025.</w:t>
      </w:r>
    </w:p>
    <w:p>
      <w:pPr>
        <w:ind w:left="283" w:hanging="142"/>
      </w:pPr>
      <w:r>
        <w:t>• Führender Begriffsleitfaden der Wirkungsökonomie, v1.0, Stand 21. Mai 2026.</w:t>
      </w:r>
    </w:p>
    <w:p>
      <w:pPr>
        <w:ind w:left="283" w:hanging="142"/>
      </w:pPr>
      <w:r>
        <w:t>• Bundesregierung: Deutsche Nachhaltigkeitsstrategie 2025 und Agenda-2030-Bezug.</w:t>
      </w:r>
    </w:p>
    <w:p>
      <w:pPr>
        <w:ind w:left="283" w:hanging="142"/>
      </w:pPr>
      <w:r>
        <w:t>• Grundgesetz für die Bundesrepublik Deutschland, insbesondere Art. 20a und die demokratisch-rechtsstaatliche Ordnung.</w:t>
      </w:r>
    </w:p>
    <w:p>
      <w:pPr>
        <w:ind w:left="283" w:hanging="142"/>
      </w:pPr>
      <w:r>
        <w:t>• UN Agenda 2030 und SDGs als internationaler Referenzrahmen.</w:t>
      </w:r>
    </w:p>
    <w:p>
      <w:pPr>
        <w:pStyle w:val="Heading1"/>
      </w:pPr>
      <w:r>
        <w:t>Fazit</w:t>
      </w:r>
    </w:p>
    <w:p>
      <w:r>
        <w:t>Der Wirkungsrat ist der institutionelle Schutzraum der Wirkungsökonomie. Er verhindert nicht jeden Konflikt, sondern macht Konflikte sichtbar, prüfbar und korrigierbar. Ohne Wirkungsrat droht die Wirkungsökonomie entweder zu Greenwashing oder zu Technokratie zu werden. Mit Wirkungsrat kann sie lernfähig, plural und demokratisch anschlussfähig bleiben.</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E6E6E"/>
        <w:sz w:val="16"/>
      </w:rPr>
      <w:t>Wirkungsökonomie - öffentliche Arbeitsfassung - keine Rechts-, Steuer- oder Anlageberatung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Source Sans 3" w:hAnsi="Source Sans 3"/>
        <w:color w:val="277D5C"/>
        <w:sz w:val="17"/>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Source Sans 3" w:hAnsi="Source Sans 3" w:eastAsia="Source Sans 3"/>
      <w:color w:val="2A2A2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60"/>
      <w:outlineLvl w:val="0"/>
    </w:pPr>
    <w:rPr>
      <w:rFonts w:asciiTheme="majorHAnsi" w:eastAsiaTheme="majorEastAsia" w:hAnsiTheme="majorHAnsi" w:cstheme="majorBidi" w:ascii="Playfair Display" w:hAnsi="Playfair Display" w:eastAsia="Playfair Display"/>
      <w:b/>
      <w:bCs/>
      <w:color w:val="0A1022"/>
      <w:sz w:val="34"/>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Source Sans 3" w:hAnsi="Source Sans 3" w:eastAsia="Source Sans 3"/>
      <w:b/>
      <w:bCs/>
      <w:color w:val="0A1022"/>
      <w:sz w:val="26"/>
      <w:szCs w:val="26"/>
    </w:rPr>
  </w:style>
  <w:style w:type="paragraph" w:styleId="Heading3">
    <w:name w:val="heading 3"/>
    <w:basedOn w:val="Normal"/>
    <w:next w:val="Normal"/>
    <w:link w:val="Heading3Char"/>
    <w:uiPriority w:val="9"/>
    <w:unhideWhenUsed/>
    <w:qFormat/>
    <w:rsid w:val="00FC693F"/>
    <w:pPr>
      <w:keepNext/>
      <w:keepLines/>
      <w:spacing w:before="140" w:after="60"/>
      <w:outlineLvl w:val="2"/>
    </w:pPr>
    <w:rPr>
      <w:rFonts w:asciiTheme="majorHAnsi" w:eastAsiaTheme="majorEastAsia" w:hAnsiTheme="majorHAnsi" w:cstheme="majorBidi" w:ascii="Source Sans 3" w:hAnsi="Source Sans 3" w:eastAsia="Source Sans 3"/>
      <w:b/>
      <w:bCs/>
      <w:color w:val="0A1022"/>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eastAsia="Playfair Display"/>
      <w:b w:val="0"/>
      <w:color w:val="0A1022"/>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