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rFonts w:ascii="Source Sans 3" w:hAnsi="Source Sans 3"/>
          <w:b/>
          <w:caps/>
          <w:color w:val="277D5C"/>
          <w:sz w:val="19"/>
        </w:rPr>
        <w:t>WIRKUNGSÖKONOMIE</w:t>
      </w:r>
    </w:p>
    <w:p>
      <w:pPr>
        <w:spacing w:after="20"/>
      </w:pPr>
      <w:r>
        <w:rPr>
          <w:rFonts w:ascii="Source Sans 3" w:hAnsi="Source Sans 3"/>
          <w:b/>
          <w:caps/>
          <w:color w:val="277D5C"/>
          <w:sz w:val="19"/>
        </w:rPr>
        <w:t>DETAILKONZEPT</w:t>
      </w:r>
    </w:p>
    <w:p>
      <w:pPr>
        <w:pStyle w:val="Title"/>
        <w:spacing w:after="100"/>
      </w:pPr>
      <w:r>
        <w:rPr>
          <w:rFonts w:ascii="Playfair Display" w:hAnsi="Playfair Display"/>
          <w:b/>
          <w:color w:val="0A1022"/>
          <w:sz w:val="50"/>
        </w:rPr>
        <w:t>Staat als Wirkungsarchitektur und Resilienzstaat</w:t>
      </w:r>
    </w:p>
    <w:p>
      <w:pPr>
        <w:spacing w:after="280"/>
      </w:pPr>
      <w:r>
        <w:rPr>
          <w:rFonts w:ascii="Source Sans 3" w:hAnsi="Source Sans 3"/>
          <w:color w:val="277D5C"/>
          <w:sz w:val="24"/>
        </w:rPr>
        <w:t>Vom Reparaturstaat zur lernenden öffentlichen Rückkopplungsarchitektur für Mensch, Planet und Demokratie</w:t>
      </w:r>
    </w:p>
    <w:tbl>
      <w:tblPr>
        <w:tblW w:type="auto" w:w="0"/>
        <w:jc w:val="lef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Natalie Weber</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Wirkungsökonomie</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v1.0</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24. Mai 2026</w:t>
            </w:r>
          </w:p>
        </w:tc>
      </w:tr>
    </w:tbl>
    <w:p>
      <w:pPr>
        <w:spacing w:before="320"/>
      </w:pPr>
      <w:r>
        <w:rPr>
          <w:rFonts w:ascii="Playfair Display" w:hAnsi="Playfair Display"/>
          <w:i/>
          <w:color w:val="0A1022"/>
          <w:sz w:val="30"/>
        </w:rPr>
        <w:t>„Der Staat soll nicht alles steuern. Er soll die Bedingungen schaffen, unter denen Wirkung sichtbar wird und Systeme lernen.“</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Staat als Wirkungsarchitektur, Resilienzstaat, öffentliche Steuerung, Institutionen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Politikberatung</w:t>
            </w:r>
          </w:p>
        </w:tc>
      </w:tr>
    </w:tbl>
    <w:p>
      <w:pPr>
        <w:pStyle w:val="Heading1"/>
      </w:pPr>
      <w:r>
        <w:t>Inhaltsübersicht</w:t>
      </w:r>
    </w:p>
    <w:p>
      <w:pPr>
        <w:spacing w:after="30"/>
        <w:ind w:left="170"/>
      </w:pPr>
      <w:r>
        <w:t>1. Executive Summary</w:t>
      </w:r>
    </w:p>
    <w:p>
      <w:pPr>
        <w:spacing w:after="30"/>
        <w:ind w:left="170"/>
      </w:pPr>
      <w:r>
        <w:t>2. Ausgangsdiagnose: Der Staat repariert zu oft, statt Rückkopplungen zu bauen</w:t>
      </w:r>
    </w:p>
    <w:p>
      <w:pPr>
        <w:spacing w:after="30"/>
        <w:ind w:left="170"/>
      </w:pPr>
      <w:r>
        <w:t>3. Leitbild: Der Staat als öffentlicher Rückkopplungsarchitekt</w:t>
      </w:r>
    </w:p>
    <w:p>
      <w:pPr>
        <w:spacing w:after="30"/>
        <w:ind w:left="170"/>
      </w:pPr>
      <w:r>
        <w:t>4. Die sechs Funktionen des Wirkungsstaates</w:t>
      </w:r>
    </w:p>
    <w:p>
      <w:pPr>
        <w:spacing w:after="30"/>
        <w:ind w:left="170"/>
      </w:pPr>
      <w:r>
        <w:t>5. Resilienzstaat: Schutz kritischer Wirkungsfunktionen</w:t>
      </w:r>
    </w:p>
    <w:p>
      <w:pPr>
        <w:spacing w:after="30"/>
        <w:ind w:left="170"/>
      </w:pPr>
      <w:r>
        <w:t>6. Institutionen und Rollenverteilung</w:t>
      </w:r>
    </w:p>
    <w:p>
      <w:pPr>
        <w:spacing w:after="30"/>
        <w:ind w:left="170"/>
      </w:pPr>
      <w:r>
        <w:t>7. Wirkungsarchitektur und bestehende Steuerlogik</w:t>
      </w:r>
    </w:p>
    <w:p>
      <w:pPr>
        <w:spacing w:after="30"/>
        <w:ind w:left="170"/>
      </w:pPr>
      <w:r>
        <w:t>8. Daten, Digitalisierung und Datenschutz</w:t>
      </w:r>
    </w:p>
    <w:p>
      <w:pPr>
        <w:spacing w:after="30"/>
        <w:ind w:left="170"/>
      </w:pPr>
      <w:r>
        <w:t>9. Politische Anschlussfähigkeit und Umsetzungsoptionen</w:t>
      </w:r>
    </w:p>
    <w:p>
      <w:pPr>
        <w:spacing w:after="30"/>
        <w:ind w:left="170"/>
      </w:pPr>
      <w:r>
        <w:t>10. Website- und Portalintegration</w:t>
      </w:r>
    </w:p>
    <w:p>
      <w:pPr>
        <w:spacing w:after="30"/>
        <w:ind w:left="170"/>
      </w:pPr>
      <w:r>
        <w:t>11. Quellen und Anschlussdokumente</w:t>
      </w:r>
    </w:p>
    <w:p>
      <w:pPr>
        <w:spacing w:after="30"/>
        <w:ind w:left="170"/>
      </w:pPr>
      <w:r>
        <w:t>12. Fazit</w:t>
      </w:r>
    </w:p>
    <w:p>
      <w:r>
        <w:br w:type="page"/>
      </w:r>
    </w:p>
    <w:p>
      <w:pPr>
        <w:pStyle w:val="Heading1"/>
      </w:pPr>
      <w:r>
        <w:t>Executive Summary</w:t>
      </w:r>
    </w:p>
    <w:p>
      <w:r>
        <w:t>Dieses Detailkonzept beschreibt den Staat nicht als Machtapparat, sondern als Wirkungsarchitektur. Damit ist keine Zentralplanung gemeint, sondern ein öffentlicher Ordnungsrahmen, der Wirkungen sichtbar macht, Zielkonflikte demokratisch bearbeitbar hält und Rückkopplungen in Recht, Haushalt, Verwaltung, Beschaffung, Kapitalzugang und öffentliche Infrastruktur ermöglicht.</w:t>
      </w:r>
    </w:p>
    <w:p>
      <w:r>
        <w:t>Der alte Staat reagiert häufig reparierend: Er erlässt Sonderprogramme, Subventionen, Förderlogiken und Einzelregeln, wenn Märkte, soziale Räume oder Infrastrukturen versagen. Der Wirkungsstaat setzt früher an. Er fragt nicht nur, wie ein Schaden kompensiert wird, sondern warum ein System den Schaden erzeugt. Damit verschiebt sich die staatliche Rolle von der Reparaturmaschine zur lernenden Architektur.</w:t>
      </w:r>
    </w:p>
    <w:p>
      <w:r>
        <w:t>Der Resilienzstaat ist der praktische Ausdruck dieser Architektur. Er schützt kritische Funktionen - Energie, Wasser, Gesundheit, Pflege, Bildung, Wohnen, digitale Infrastruktur, öffentliche Wahrheit, Rechtsschutz und demokratische Handlungsfähigkeit - nicht erst im Notfall, sondern als dauerhafte Systemleistung.</w:t>
      </w:r>
    </w:p>
    <w:p>
      <w:pPr>
        <w:pStyle w:val="Heading1"/>
      </w:pPr>
      <w:r>
        <w:t>Ausgangsdiagnose: Der Staat repariert zu oft, statt Rückkopplungen zu bauen</w:t>
      </w:r>
    </w:p>
    <w:p>
      <w:r>
        <w:t>Viele heutige politische Instrumente entstehen als Antwort auf Fehlanreize: ein Markt bildet ökologische Kosten nicht ab, also wird eine Sonderabgabe eingeführt. Ein Wohnungsmarkt überhitzt, also kommen Mietregeln und Förderprogramme. Gesundheitssysteme finanzieren Krankheit, also entstehen Präventionskampagnen. Desinformation schwächt Vertrauen, also entstehen neue Aufsichtspflichten.</w:t>
      </w:r>
    </w:p>
    <w:p>
      <w:r>
        <w:t>Diese Instrumente sind oft notwendig. Aber wenn sie nur nachträglich reparieren, wächst eine Bürokratie, die die Grundlogik nicht verändert. Die Wirkungsökonomie fragt daher nach der tieferen Struktur: Welche Preise, Daten, Regeln und Institutionen müssten so gestaltet werden, dass destruktive Wirkung gar nicht erst günstiger ist als konstruktive Wirkung?</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Reparaturstaat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Wirkungsarchitektur</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Beispiel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Problem tritt auf, Programm folgt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 wird vorher sichtbar und rückgekoppelt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Förderprogramm vs. wirkungsbasierte Preis- und Steuerlogik</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Ressorts verwalten Zuständigkeiten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Wirkungsräume werden über Ressortgrenzen gelesen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Bildung wirkt auf Gesundheit, Arbeit und Demokratie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Erfolg = Mittelabfluss oder Gesetzesbeschluss</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Erfolg = überprüfbare Zustandsveränderung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Sanierungsquote plus Warmmietenwirkung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 als Berichtspflicht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 als Steuerungs- und Korrekturgrundlage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CSRD/ESRS, WÖk-IDs, Wirkungshaushalt</w:t>
            </w:r>
          </w:p>
        </w:tc>
      </w:tr>
    </w:tbl>
    <w:p/>
    <w:p>
      <w:pPr>
        <w:pStyle w:val="Heading1"/>
      </w:pPr>
      <w:r>
        <w:t>Leitbild: Der Staat als öffentlicher Rückkopplungsarchitekt</w:t>
      </w:r>
    </w:p>
    <w:p>
      <w:r>
        <w:t>Der Wirkungsstaat besitzt keine absolute Hoheit über Wahrheit, Sinn oder Lebensführung. Seine Aufgabe ist begrenzter und zugleich anspruchsvoller: Er schafft Verfahren, in denen relevante Wirkungen sichtbar werden, in denen Entscheidungen begründet werden müssen, in denen Fehlsteuerungen korrigiert werden können und in denen Bürger:innen, Wissenschaft, Verwaltung, Wirtschaft und Zivilgesellschaft die Wirkungslogik kontrollieren können.</w:t>
      </w:r>
    </w:p>
    <w:p>
      <w:r>
        <w:t>Diese Rolle ist marktwirtschaftlich anschlussfähig, weil sie dezentrale Entscheidungen nicht ersetzt. Der Markt bleibt Suchprozess. Unternehmen bleiben Innovationsräume. Bürger:innen bleiben frei. Aber der Staat stellt sicher, dass die Signale im System nicht systematisch lügen: Preise, Steuern, Förderung, Beschaffung und Kapitalzugang sollen nicht länger destruktive Wirkung verdecken.</w:t>
      </w:r>
    </w:p>
    <w:tbl>
      <w:tblPr>
        <w:tblW w:type="auto" w:w="0"/>
        <w:jc w:val="center"/>
        <w:tblLook w:firstColumn="1" w:firstRow="1" w:lastColumn="0" w:lastRow="0" w:noHBand="0" w:noVBand="1" w:val="04A0"/>
      </w:tblPr>
      <w:tblGrid>
        <w:gridCol w:w="9972"/>
      </w:tblGrid>
      <w:tr>
        <w:tc>
          <w:tcPr>
            <w:tcW w:type="dxa" w:w="9972"/>
            <w:shd w:fill="F6F1E8"/>
            <w:tcBorders>
              <w:top w:val="single" w:sz="8" w:color="CFC7B6"/>
              <w:left w:val="single" w:sz="8" w:color="CFC7B6"/>
              <w:bottom w:val="single" w:sz="8" w:color="CFC7B6"/>
              <w:right w:val="single" w:sz="8" w:color="CFC7B6"/>
            </w:tcBorders>
          </w:tcPr>
          <w:p>
            <w:r>
              <w:rPr>
                <w:rFonts w:ascii="Source Sans 3" w:hAnsi="Source Sans 3"/>
                <w:b/>
                <w:color w:val="277D5C"/>
                <w:sz w:val="19"/>
              </w:rPr>
              <w:t>Kernformel</w:t>
            </w:r>
          </w:p>
          <w:p>
            <w:r>
              <w:rPr>
                <w:rFonts w:ascii="Source Sans 3" w:hAnsi="Source Sans 3"/>
                <w:color w:val="2A2A2C"/>
                <w:sz w:val="20"/>
              </w:rPr>
              <w:t>Der Wirkungsstaat befiehlt nicht das Ergebnis. Er gestaltet die Rückkopplung, durch die Ergebnisse sichtbar, bewertbar, korrigierbar und demokratisch verantwortbar werden.</w:t>
            </w:r>
          </w:p>
        </w:tc>
      </w:tr>
    </w:tbl>
    <w:p/>
    <w:p>
      <w:pPr>
        <w:pStyle w:val="Heading1"/>
      </w:pPr>
      <w:r>
        <w:t>Die sechs Funktionen des Wirkungsstaates</w:t>
      </w:r>
    </w:p>
    <w:p>
      <w:r>
        <w:t>Die staatliche Wirkungsarchitektur lässt sich in sechs Funktionen gliedern. Keine dieser Funktionen ersetzt demokratische Entscheidung. Sie sorgen dafür, dass politische Entscheidung realitätsfähiger wird.</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Funktion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WÖk-Instrumente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Normsetzung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Ziele, rote Linien und Grundrechte sichern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WStG, Art.-20a-Bezug, SDG+/Demokratiebezug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Dateninfrastruktur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erfassbar und prüfbar machen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WÖk-IDs, Register, Datenräume, DPP, öffentliche Statistik</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Rückkopplung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 in Anreize übersetzen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Steuern, Haushalt, Beschaffung, Förderung, Kapitalzugang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Schutz</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Menschenwürde, Grundrechte, Rechtsschutz, Datenschutz sichern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Verhältnismäßigkeit, Einspruch, Gericht, Technokratieschutz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Resilienz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kritische Funktionen vorsorgend stabilisieren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Resilienzstrategie, Frühwarnindikatoren, kommunale Wirkungshaushalte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Lernen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 und Korrektur institutionalisieren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Wirkungsrat, Wirkungsberichte, Revision, Pilotierung</w:t>
            </w:r>
          </w:p>
        </w:tc>
      </w:tr>
    </w:tbl>
    <w:p/>
    <w:p>
      <w:pPr>
        <w:pStyle w:val="Heading1"/>
      </w:pPr>
      <w:r>
        <w:t>Resilienzstaat: Schutz kritischer Wirkungsfunktionen</w:t>
      </w:r>
    </w:p>
    <w:p>
      <w:r>
        <w:t>Resilienz bedeutet in der Wirkungsökonomie nicht bloß Krisenmanagement. Es bedeutet, die Funktionsfähigkeit von Systemen so zu erhalten, dass Menschenwürde, öffentliche Sicherheit, Versorgung, demokratische Kommunikation und ökologische Tragfähigkeit auch unter Belastung bestehen bleiben.</w:t>
      </w:r>
    </w:p>
    <w:p>
      <w:r>
        <w:t>Der Resilienzstaat denkt daher nicht nur in Katastrophenschutz. Er denkt in dauerhaften Wirkungsfunktionen: Können Menschen wohnen? Haben Kinder Zugang zu Bildung? Funktionieren Pflege, Wasser, Energie, digitale Identität, Gerichte, lokale Verwaltung, öffentliche Information und wissenschaftliche Beratung auch bei Krisen, Hitze, Cyberangriffen, Pandemien, Lieferkettenbrüchen oder Vertrauensverlust?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Kritische Wirkungsfunktion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Risiko ohne Wirkungslogik</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WÖk-Resilienzansatz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Energie und Wasser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Versorgungsengpässe, Preis- und Verteilungskrisen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Resilienzindikatoren, lokale Redundanz, Wirkungshaushalt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Gesundheit und Pflege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Überlastung, Reparaturmedizin, Fachkräftemangel</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Prävention, Pflegeökosystem, Gesundheitswirkungsdaten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Bildung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Kompetenzverlust, Ungleichheit, Demokratieschwäche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Wirkungsschule, Wirkungskompetenz, frühe Förderung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Öffentliche Wahrheit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Desinformation, Polarisierung, Vertrauensverlust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Medienqualität, Quellenklarheit, Plattformverantwortung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lange Verfahren, Ohnmacht, Misstrauen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Zugang, Fristen, digitale Verfahren, Transparenz</w:t>
            </w:r>
          </w:p>
        </w:tc>
      </w:tr>
    </w:tbl>
    <w:p/>
    <w:p>
      <w:pPr>
        <w:pStyle w:val="Heading1"/>
      </w:pPr>
      <w:r>
        <w:t>Institutionen und Rollenverteilung</w:t>
      </w:r>
    </w:p>
    <w:p>
      <w:r>
        <w:t>Eine Wirkungsarchitektur entsteht nicht durch eine einzelne Behörde. Sie braucht eine klare Rollenverteilung. Der Bundestag entscheidet politisch. Die Bundesregierung gestaltet Umsetzung. Länder und Kommunen operationalisieren große Teile der Daseinsvorsorge. Verwaltung prüft und vollzieht. Wissenschaft liefert Datenqualität und Unsicherheitslogik. Der Wirkungsrat evaluiert Indikatoren und Methodik. Gerichte sichern Rechtsschutz. Zivilgesellschaft kontrolliert, widerspricht und ergänzt.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Akteur</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Rolle in der Wirkungsarchitektur</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Schutz gegen Fehlsteuerung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Parlament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Budget, Gesetze, politische Priorisierung</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öffentliches Verfahren, Opposition, Anhörungen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Regierung/Ministerien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Umsetzung, Programme, Verordnungen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Wirkungsfolgenabschätzung, Evaluation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Länder und Kommunen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Bildung, Verwaltung, Wohnen, Gesundheit, Kultur, Infrastruktur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kommunale Beteiligung, lokale Daten, Wirkungshaushalte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Wirkungsrat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Indikatoren, Benchmarks, Berichte, Missbrauchsschutz</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plural, unabhängig, transparent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Gerichte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Grundrechte, Verhältnismäßigkeit, Rechtsschutz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unabhängige Kontrolle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Bürger:innen/Zivilgesellschaft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Feedback, Beteiligung, Kontrolle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Transparenz, Beschwerdewege, Zugang zu Daten</w:t>
            </w:r>
          </w:p>
        </w:tc>
      </w:tr>
    </w:tbl>
    <w:p/>
    <w:p>
      <w:pPr>
        <w:pStyle w:val="Heading1"/>
      </w:pPr>
      <w:r>
        <w:t>Wirkungsarchitektur und bestehende Steuerlogik</w:t>
      </w:r>
    </w:p>
    <w:p>
      <w:r>
        <w:t>Der Wirkungsstaat führt nicht zwingend neue Steuerarten ohne Anschluss ein. Er überlagert bestehende Steuerarten mit einer Wirkungslogik. Umsatz, Einkommen, Körperschaft, Gewerbe, Kapital, Vermögen oder Erbschaften bleiben politisch ausgestaltbar. Die WÖk fragt, ob und wie diese Größen nach ihrer Wirkung differenziert werden können.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Steuer-/Finanzfeld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Wirkungsökonomische Frage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Verknüpfung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Umsatz/Produkte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Wirkung trägt ein Produkt über Lebenszyklus und Lieferkette?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WUStG, Produktscorecards, DPP</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Einkommen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Welche Wirkung erzeugt eine Tätigkeit oder Einkommensquelle?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WEstG, Wirkungseinkommen, Arbeit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Unternehmensgewinne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Ist Gewinn Resultat positiver Wirkung oder externalisierter Kosten?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Unternehmen, KSt/GewSt-Logik, Finanzmarkt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Kapital/Vermögen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Stabilisiert Kapital Mensch, Planet und Demokratie oder destabilisiert es?</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Finanzsystem, Wirkungsfonds, Vermögensteuerlogik</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Öffentliche Mittel</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Netto-Wirkung erzeugt ein Haushalts-Euro?</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Wirkungshaushalt, T-SROI, NWI</w:t>
            </w:r>
          </w:p>
        </w:tc>
      </w:tr>
    </w:tbl>
    <w:p/>
    <w:p>
      <w:pPr>
        <w:pStyle w:val="Heading1"/>
      </w:pPr>
      <w:r>
        <w:t>Daten, Digitalisierung und Datenschutz</w:t>
      </w:r>
    </w:p>
    <w:p>
      <w:r>
        <w:t>Wirkungsarchitektur benötigt Daten, aber sie darf nicht zum Überwachungsstaat werden. Die Datenlogik der WÖk richtet sich auf Produkte, Organisationen, Programme, Kapitalflüsse, Räume und Institutionen - nicht auf die moralische Bewertung einzelner Bürger:innen. Personenbezogene Daten müssen minimiert, zweckgebunden, geschützt und rechtlich überprüfbar verarbeitet werden.</w:t>
      </w:r>
    </w:p>
    <w:p>
      <w:pPr>
        <w:ind w:left="283" w:hanging="142"/>
      </w:pPr>
      <w:r>
        <w:rPr>
          <w:rFonts w:ascii="Source Sans 3" w:hAnsi="Source Sans 3"/>
          <w:color w:val="2A2A2C"/>
          <w:sz w:val="20"/>
        </w:rPr>
        <w:t>• Wirkungsdaten dienen der Verbesserung von Systemen, nicht der Bewertung des Wertes einzelner Menschen.</w:t>
      </w:r>
    </w:p>
    <w:p>
      <w:pPr>
        <w:ind w:left="283" w:hanging="142"/>
      </w:pPr>
      <w:r>
        <w:rPr>
          <w:rFonts w:ascii="Source Sans 3" w:hAnsi="Source Sans 3"/>
          <w:color w:val="2A2A2C"/>
          <w:sz w:val="20"/>
        </w:rPr>
        <w:t>• Wo Personen betroffen sind, gelten Transparenz, Zweckbindung, Widerspruch, Datenminimierung und Rechtsschutz.</w:t>
      </w:r>
    </w:p>
    <w:p>
      <w:pPr>
        <w:ind w:left="283" w:hanging="142"/>
      </w:pPr>
      <w:r>
        <w:rPr>
          <w:rFonts w:ascii="Source Sans 3" w:hAnsi="Source Sans 3"/>
          <w:color w:val="2A2A2C"/>
          <w:sz w:val="20"/>
        </w:rPr>
        <w:t>• Automatisierte Entscheidungen dürfen politische oder gerichtliche Kontrolle nicht ersetzen.</w:t>
      </w:r>
    </w:p>
    <w:p>
      <w:pPr>
        <w:ind w:left="283" w:hanging="142"/>
      </w:pPr>
      <w:r>
        <w:rPr>
          <w:rFonts w:ascii="Source Sans 3" w:hAnsi="Source Sans 3"/>
          <w:color w:val="2A2A2C"/>
          <w:sz w:val="20"/>
        </w:rPr>
        <w:t>• Öffentliche Datenräume brauchen offene Dokumentation, Versionierung und Missbrauchsschutz.</w:t>
      </w:r>
    </w:p>
    <w:p>
      <w:pPr>
        <w:pStyle w:val="Heading1"/>
      </w:pPr>
      <w:r>
        <w:t>Politische Anschlussfähigkeit und Umsetzungsoptionen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Rückkopplungen so gestalten, dass Wirkung sichtbar wird, ohne demokratische Entscheidung zu ersetzen.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WStG, Wirkungshaushalt, Wirkungsfolgenabschätzung, Wirkungsrat, Dateninfrastruktur, kommunale Pilotierung.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Parteien können unterschiedliche Prioritäten setzen: Marktanreize, öffentliche Investition, Sozialschutz, Tempo, Verbindlichkeit.</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Freiheit, Datenschutz, Bürokratiearmut, Grundrechte, Kosten, Wettbewerbsfähigkeit, Föderalismus.</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Rollenverteilung</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EU, Bund, Länder, Kommunen, Verwaltung, Wissenschaft, Wirtschaft, Zivilgesellschaft und Gerichte tragen unterschiedliche Verantwortung.</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Übergang und Schutz</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Pilotfelder, Schwellenwerte, KMU-Schutz, Sozialausgleich, Revisionszyklen, keine Schockumstellung.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Daten informieren; Parlamente entscheiden; Gerichte kontrollieren; Öffentlichkeit widerspricht.</w:t>
            </w:r>
          </w:p>
        </w:tc>
      </w:tr>
    </w:tbl>
    <w:p/>
    <w:p>
      <w:pPr>
        <w:pStyle w:val="Heading1"/>
      </w:pPr>
      <w:r>
        <w:t>Website- und Portalintegration</w:t>
      </w:r>
    </w:p>
    <w:p>
      <w:pPr>
        <w:ind w:left="283" w:hanging="142"/>
      </w:pPr>
      <w:r>
        <w:rPr>
          <w:rFonts w:ascii="Source Sans 3" w:hAnsi="Source Sans 3"/>
          <w:color w:val="2A2A2C"/>
          <w:sz w:val="20"/>
        </w:rPr>
        <w:t>• URL-Vorschlag: /wirkungsfelder/staat-recht-demokratie/staat-als-wirkungsarchitektur/</w:t>
      </w:r>
    </w:p>
    <w:p>
      <w:pPr>
        <w:ind w:left="283" w:hanging="142"/>
      </w:pPr>
      <w:r>
        <w:rPr>
          <w:rFonts w:ascii="Source Sans 3" w:hAnsi="Source Sans 3"/>
          <w:color w:val="2A2A2C"/>
          <w:sz w:val="20"/>
        </w:rPr>
        <w:t>• Als Grundlagentext unter Staat, Recht &amp; Demokratie einbinden, mit Querverweisen zu Wirkungshaushalt, Wirkungsrat, WStG und Resilienzstaat.</w:t>
      </w:r>
    </w:p>
    <w:p>
      <w:pPr>
        <w:ind w:left="283" w:hanging="142"/>
      </w:pPr>
      <w:r>
        <w:rPr>
          <w:rFonts w:ascii="Source Sans 3" w:hAnsi="Source Sans 3"/>
          <w:color w:val="2A2A2C"/>
          <w:sz w:val="20"/>
        </w:rPr>
        <w:t>• Toolkarten: Wirkungsfolgenabschätzungs-Check, Wirkungshaushalt-Demo, Resilienzstaat-Check, Wirkungsarchitektur-Karte.</w:t>
      </w:r>
    </w:p>
    <w:p>
      <w:pPr>
        <w:ind w:left="283" w:hanging="142"/>
      </w:pPr>
      <w:r>
        <w:rPr>
          <w:rFonts w:ascii="Source Sans 3" w:hAnsi="Source Sans 3"/>
          <w:color w:val="2A2A2C"/>
          <w:sz w:val="20"/>
        </w:rPr>
        <w:t>• Kurzfassung auf Portalstartseite, vollständiger Online-Volltext als Unterseite, DOCX/PDF als Download.</w:t>
      </w:r>
    </w:p>
    <w:p>
      <w:pPr>
        <w:pStyle w:val="Heading1"/>
      </w:pPr>
      <w:r>
        <w:t>Quellen und Anschlussdokumente</w:t>
      </w:r>
    </w:p>
    <w:p>
      <w:pPr>
        <w:ind w:left="283" w:hanging="142"/>
      </w:pPr>
      <w:r>
        <w:rPr>
          <w:rFonts w:ascii="Source Sans 3" w:hAnsi="Source Sans 3"/>
          <w:color w:val="2A2A2C"/>
          <w:sz w:val="20"/>
        </w:rPr>
        <w:t>• Natalie Weber: Die neue Ordnung des Wohlstands, insbesondere Teile VI, X, XII, XIII, XIV und XVII.</w:t>
      </w:r>
    </w:p>
    <w:p>
      <w:pPr>
        <w:ind w:left="283" w:hanging="142"/>
      </w:pPr>
      <w:r>
        <w:rPr>
          <w:rFonts w:ascii="Source Sans 3" w:hAnsi="Source Sans 3"/>
          <w:color w:val="2A2A2C"/>
          <w:sz w:val="20"/>
        </w:rPr>
        <w:t>• Natalie Weber: Working-Paper Wirkungssteuergesetz (WStG), Oktober 2025.</w:t>
      </w:r>
    </w:p>
    <w:p>
      <w:pPr>
        <w:ind w:left="283" w:hanging="142"/>
      </w:pPr>
      <w:r>
        <w:rPr>
          <w:rFonts w:ascii="Source Sans 3" w:hAnsi="Source Sans 3"/>
          <w:color w:val="2A2A2C"/>
          <w:sz w:val="20"/>
        </w:rPr>
        <w:t>• Natalie Weber: Der Wirkungsrat - Institutionelle Verankerung der Wirkungsökonomie, September 2025.</w:t>
      </w:r>
    </w:p>
    <w:p>
      <w:pPr>
        <w:ind w:left="283" w:hanging="142"/>
      </w:pPr>
      <w:r>
        <w:rPr>
          <w:rFonts w:ascii="Source Sans 3" w:hAnsi="Source Sans 3"/>
          <w:color w:val="2A2A2C"/>
          <w:sz w:val="20"/>
        </w:rPr>
        <w:t>• Natalie Weber: Systemmodell der Wirkungsökonomie, insbesondere Staat &amp; Recht, Medien &amp; Öffentlichkeit, Finanzsystem &amp; Kapital und Wissen/Digitalisierung.</w:t>
      </w:r>
    </w:p>
    <w:p>
      <w:pPr>
        <w:ind w:left="283" w:hanging="142"/>
      </w:pPr>
      <w:r>
        <w:rPr>
          <w:rFonts w:ascii="Source Sans 3" w:hAnsi="Source Sans 3"/>
          <w:color w:val="2A2A2C"/>
          <w:sz w:val="20"/>
        </w:rPr>
        <w:t>• Führender Begriffsleitfaden der Wirkungsökonomie, v1.0, Stand 21. Mai 2026.</w:t>
      </w:r>
    </w:p>
    <w:p>
      <w:pPr>
        <w:ind w:left="283" w:hanging="142"/>
      </w:pPr>
      <w:r>
        <w:rPr>
          <w:rFonts w:ascii="Source Sans 3" w:hAnsi="Source Sans 3"/>
          <w:color w:val="2A2A2C"/>
          <w:sz w:val="20"/>
        </w:rPr>
        <w:t>• Grundgesetz für die Bundesrepublik Deutschland: Menschenwürde, Demokratie, Rechtsstaat, Sozialstaat, Bundesstaat, Rechtsschutz und Art. 20a.</w:t>
      </w:r>
    </w:p>
    <w:p>
      <w:pPr>
        <w:ind w:left="283" w:hanging="142"/>
      </w:pPr>
      <w:r>
        <w:rPr>
          <w:rFonts w:ascii="Source Sans 3" w:hAnsi="Source Sans 3"/>
          <w:color w:val="2A2A2C"/>
          <w:sz w:val="20"/>
        </w:rPr>
        <w:t>• Bundesregierung: Deutsche Nachhaltigkeitsstrategie 2025 und Agenda-2030-Bezug.</w:t>
      </w:r>
    </w:p>
    <w:p>
      <w:pPr>
        <w:ind w:left="283" w:hanging="142"/>
      </w:pPr>
      <w:r>
        <w:rPr>
          <w:rFonts w:ascii="Source Sans 3" w:hAnsi="Source Sans 3"/>
          <w:color w:val="2A2A2C"/>
          <w:sz w:val="20"/>
        </w:rPr>
        <w:t>• UN Agenda 2030 und SDGs; SDG+ als transparente Erweiterung der Wirkungsökonomie.</w:t>
      </w:r>
    </w:p>
    <w:p>
      <w:pPr>
        <w:pStyle w:val="Heading1"/>
      </w:pPr>
      <w:r>
        <w:t>Fazit</w:t>
      </w:r>
    </w:p>
    <w:p>
      <w:r>
        <w:t>Der Staat als Wirkungsarchitektur ist kein allmächtiger Steuerstaat. Er ist eine demokratisch begrenzte Rückkopplungsordnung. Seine Stärke liegt nicht darin, alles zu wissen, sondern darin, Wirkung sichtbar zu machen, Fehlsteuerungen korrigierbar zu halten und die Grundlagen von Freiheit, Sicherheit, Wohlstand und Demokratie resilient zu schützen.</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5F5F5F"/>
        <w:sz w:val="16"/>
      </w:rPr>
      <w:t>Wirkungsökonomie - öffentliche Arbeitsfassung - keine Rechts-, Steuer- oder Politikberatung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rFonts w:ascii="Source Sans 3" w:hAnsi="Source Sans 3" w:eastAsia="Source Sans 3"/>
      <w:color w:val="2A2A2C"/>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