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
      </w:pPr>
      <w:r>
        <w:rPr>
          <w:rFonts w:ascii="Source Sans 3" w:hAnsi="Source Sans 3"/>
          <w:b/>
          <w:caps/>
          <w:color w:val="277D5C"/>
          <w:sz w:val="19"/>
        </w:rPr>
        <w:t>WIRKUNGSÖKONOMIE</w:t>
      </w:r>
    </w:p>
    <w:p>
      <w:pPr>
        <w:spacing w:after="20"/>
      </w:pPr>
      <w:r>
        <w:rPr>
          <w:rFonts w:ascii="Source Sans 3" w:hAnsi="Source Sans 3"/>
          <w:b/>
          <w:caps/>
          <w:color w:val="277D5C"/>
          <w:sz w:val="19"/>
        </w:rPr>
        <w:t>DETAILKONZEPT</w:t>
      </w:r>
    </w:p>
    <w:p>
      <w:pPr>
        <w:pStyle w:val="Title"/>
        <w:spacing w:after="100"/>
      </w:pPr>
      <w:r>
        <w:rPr>
          <w:rFonts w:ascii="Playfair Display" w:hAnsi="Playfair Display"/>
          <w:b/>
          <w:color w:val="0A1022"/>
          <w:sz w:val="50"/>
        </w:rPr>
        <w:t>Grundrechte, Verhältnismäßigkeit und Schutz vor Technokratie</w:t>
      </w:r>
    </w:p>
    <w:p>
      <w:pPr>
        <w:spacing w:after="280"/>
      </w:pPr>
      <w:r>
        <w:rPr>
          <w:rFonts w:ascii="Source Sans 3" w:hAnsi="Source Sans 3"/>
          <w:color w:val="277D5C"/>
          <w:sz w:val="24"/>
        </w:rPr>
        <w:t>Rechtsschutz, Freiheitsgarantien und rote Linien der Wirkungsökonomie</w:t>
      </w:r>
    </w:p>
    <w:tbl>
      <w:tblPr>
        <w:tblW w:type="auto" w:w="0"/>
        <w:jc w:val="left"/>
        <w:tblLook w:firstColumn="1" w:firstRow="1" w:lastColumn="0" w:lastRow="0" w:noHBand="0" w:noVBand="1" w:val="04A0"/>
      </w:tblPr>
      <w:tblGrid>
        <w:gridCol w:w="4986"/>
        <w:gridCol w:w="4986"/>
      </w:tblGrid>
      <w:tr>
        <w:tc>
          <w:tcPr>
            <w:tcW w:type="dxa" w:w="4986"/>
            <w:shd w:fill="F6F1E8"/>
            <w:tcBorders>
              <w:top w:val="single" w:sz="6" w:color="D9D3C7"/>
              <w:left w:val="single" w:sz="6" w:color="D9D3C7"/>
              <w:bottom w:val="single" w:sz="6" w:color="D9D3C7"/>
              <w:right w:val="single" w:sz="6" w:color="D9D3C7"/>
            </w:tcBorders>
          </w:tcPr>
          <w:p>
            <w:r>
              <w:rPr>
                <w:rFonts w:ascii="Source Sans 3" w:hAnsi="Source Sans 3"/>
                <w:b/>
                <w:color w:val="277D5C"/>
                <w:sz w:val="19"/>
              </w:rPr>
              <w:t>Autorin</w:t>
            </w:r>
          </w:p>
        </w:tc>
        <w:tc>
          <w:tcPr>
            <w:tcW w:type="dxa" w:w="4986"/>
            <w:shd w:fill="F6F1E8"/>
            <w:tcBorders>
              <w:top w:val="single" w:sz="6" w:color="D9D3C7"/>
              <w:left w:val="single" w:sz="6" w:color="D9D3C7"/>
              <w:bottom w:val="single" w:sz="6" w:color="D9D3C7"/>
              <w:right w:val="single" w:sz="6" w:color="D9D3C7"/>
            </w:tcBorders>
          </w:tcPr>
          <w:p>
            <w:r>
              <w:rPr>
                <w:rFonts w:ascii="Source Sans 3" w:hAnsi="Source Sans 3"/>
                <w:b w:val="0"/>
                <w:color w:val="2A2A2C"/>
                <w:sz w:val="19"/>
              </w:rPr>
              <w:t>Natalie Weber</w:t>
            </w:r>
          </w:p>
        </w:tc>
      </w:tr>
      <w:tr>
        <w:tc>
          <w:tcPr>
            <w:tcW w:type="dxa" w:w="4986"/>
            <w:shd w:fill="FAF8F3"/>
            <w:tcBorders>
              <w:top w:val="single" w:sz="6" w:color="D9D3C7"/>
              <w:left w:val="single" w:sz="6" w:color="D9D3C7"/>
              <w:bottom w:val="single" w:sz="6" w:color="D9D3C7"/>
              <w:right w:val="single" w:sz="6" w:color="D9D3C7"/>
            </w:tcBorders>
          </w:tcPr>
          <w:p>
            <w:r>
              <w:rPr>
                <w:rFonts w:ascii="Source Sans 3" w:hAnsi="Source Sans 3"/>
                <w:b/>
                <w:color w:val="277D5C"/>
                <w:sz w:val="19"/>
              </w:rPr>
              <w:t>Referenz</w:t>
            </w:r>
          </w:p>
        </w:tc>
        <w:tc>
          <w:tcPr>
            <w:tcW w:type="dxa" w:w="4986"/>
            <w:shd w:fill="FAF8F3"/>
            <w:tcBorders>
              <w:top w:val="single" w:sz="6" w:color="D9D3C7"/>
              <w:left w:val="single" w:sz="6" w:color="D9D3C7"/>
              <w:bottom w:val="single" w:sz="6" w:color="D9D3C7"/>
              <w:right w:val="single" w:sz="6" w:color="D9D3C7"/>
            </w:tcBorders>
          </w:tcPr>
          <w:p>
            <w:r>
              <w:rPr>
                <w:rFonts w:ascii="Source Sans 3" w:hAnsi="Source Sans 3"/>
                <w:b w:val="0"/>
                <w:color w:val="2A2A2C"/>
                <w:sz w:val="19"/>
              </w:rPr>
              <w:t>Wirkungsökonomie</w:t>
            </w:r>
          </w:p>
        </w:tc>
      </w:tr>
      <w:tr>
        <w:tc>
          <w:tcPr>
            <w:tcW w:type="dxa" w:w="4986"/>
            <w:shd w:fill="F6F1E8"/>
            <w:tcBorders>
              <w:top w:val="single" w:sz="6" w:color="D9D3C7"/>
              <w:left w:val="single" w:sz="6" w:color="D9D3C7"/>
              <w:bottom w:val="single" w:sz="6" w:color="D9D3C7"/>
              <w:right w:val="single" w:sz="6" w:color="D9D3C7"/>
            </w:tcBorders>
          </w:tcPr>
          <w:p>
            <w:r>
              <w:rPr>
                <w:rFonts w:ascii="Source Sans 3" w:hAnsi="Source Sans 3"/>
                <w:b/>
                <w:color w:val="277D5C"/>
                <w:sz w:val="19"/>
              </w:rPr>
              <w:t>Version</w:t>
            </w:r>
          </w:p>
        </w:tc>
        <w:tc>
          <w:tcPr>
            <w:tcW w:type="dxa" w:w="4986"/>
            <w:shd w:fill="F6F1E8"/>
            <w:tcBorders>
              <w:top w:val="single" w:sz="6" w:color="D9D3C7"/>
              <w:left w:val="single" w:sz="6" w:color="D9D3C7"/>
              <w:bottom w:val="single" w:sz="6" w:color="D9D3C7"/>
              <w:right w:val="single" w:sz="6" w:color="D9D3C7"/>
            </w:tcBorders>
          </w:tcPr>
          <w:p>
            <w:r>
              <w:rPr>
                <w:rFonts w:ascii="Source Sans 3" w:hAnsi="Source Sans 3"/>
                <w:b w:val="0"/>
                <w:color w:val="2A2A2C"/>
                <w:sz w:val="19"/>
              </w:rPr>
              <w:t>v1.0</w:t>
            </w:r>
          </w:p>
        </w:tc>
      </w:tr>
      <w:tr>
        <w:tc>
          <w:tcPr>
            <w:tcW w:type="dxa" w:w="4986"/>
            <w:shd w:fill="FAF8F3"/>
            <w:tcBorders>
              <w:top w:val="single" w:sz="6" w:color="D9D3C7"/>
              <w:left w:val="single" w:sz="6" w:color="D9D3C7"/>
              <w:bottom w:val="single" w:sz="6" w:color="D9D3C7"/>
              <w:right w:val="single" w:sz="6" w:color="D9D3C7"/>
            </w:tcBorders>
          </w:tcPr>
          <w:p>
            <w:r>
              <w:rPr>
                <w:rFonts w:ascii="Source Sans 3" w:hAnsi="Source Sans 3"/>
                <w:b/>
                <w:color w:val="277D5C"/>
                <w:sz w:val="19"/>
              </w:rPr>
              <w:t>Status</w:t>
            </w:r>
          </w:p>
        </w:tc>
        <w:tc>
          <w:tcPr>
            <w:tcW w:type="dxa" w:w="4986"/>
            <w:shd w:fill="FAF8F3"/>
            <w:tcBorders>
              <w:top w:val="single" w:sz="6" w:color="D9D3C7"/>
              <w:left w:val="single" w:sz="6" w:color="D9D3C7"/>
              <w:bottom w:val="single" w:sz="6" w:color="D9D3C7"/>
              <w:right w:val="single" w:sz="6" w:color="D9D3C7"/>
            </w:tcBorders>
          </w:tcPr>
          <w:p>
            <w:r>
              <w:rPr>
                <w:rFonts w:ascii="Source Sans 3" w:hAnsi="Source Sans 3"/>
                <w:b w:val="0"/>
                <w:color w:val="2A2A2C"/>
                <w:sz w:val="19"/>
              </w:rPr>
              <w:t>öffentliche Ausarbeitung / Detailkonzept</w:t>
            </w:r>
          </w:p>
        </w:tc>
      </w:tr>
      <w:tr>
        <w:tc>
          <w:tcPr>
            <w:tcW w:type="dxa" w:w="4986"/>
            <w:shd w:fill="F6F1E8"/>
            <w:tcBorders>
              <w:top w:val="single" w:sz="6" w:color="D9D3C7"/>
              <w:left w:val="single" w:sz="6" w:color="D9D3C7"/>
              <w:bottom w:val="single" w:sz="6" w:color="D9D3C7"/>
              <w:right w:val="single" w:sz="6" w:color="D9D3C7"/>
            </w:tcBorders>
          </w:tcPr>
          <w:p>
            <w:r>
              <w:rPr>
                <w:rFonts w:ascii="Source Sans 3" w:hAnsi="Source Sans 3"/>
                <w:b/>
                <w:color w:val="277D5C"/>
                <w:sz w:val="19"/>
              </w:rPr>
              <w:t>Stand</w:t>
            </w:r>
          </w:p>
        </w:tc>
        <w:tc>
          <w:tcPr>
            <w:tcW w:type="dxa" w:w="4986"/>
            <w:shd w:fill="F6F1E8"/>
            <w:tcBorders>
              <w:top w:val="single" w:sz="6" w:color="D9D3C7"/>
              <w:left w:val="single" w:sz="6" w:color="D9D3C7"/>
              <w:bottom w:val="single" w:sz="6" w:color="D9D3C7"/>
              <w:right w:val="single" w:sz="6" w:color="D9D3C7"/>
            </w:tcBorders>
          </w:tcPr>
          <w:p>
            <w:r>
              <w:rPr>
                <w:rFonts w:ascii="Source Sans 3" w:hAnsi="Source Sans 3"/>
                <w:b w:val="0"/>
                <w:color w:val="2A2A2C"/>
                <w:sz w:val="19"/>
              </w:rPr>
              <w:t>24. Mai 2026</w:t>
            </w:r>
          </w:p>
        </w:tc>
      </w:tr>
    </w:tbl>
    <w:p>
      <w:pPr>
        <w:spacing w:before="320"/>
      </w:pPr>
      <w:r>
        <w:rPr>
          <w:rFonts w:ascii="Playfair Display" w:hAnsi="Playfair Display"/>
          <w:i/>
          <w:color w:val="0A1022"/>
          <w:sz w:val="30"/>
        </w:rPr>
        <w:t>„Wirkungsmessung darf Freiheit nicht ersetzen. Sie muss Freiheit realitätsfähiger machen.“</w:t>
      </w:r>
    </w:p>
    <w:p>
      <w:r>
        <w:br w:type="page"/>
      </w:r>
    </w:p>
    <w:p>
      <w:pPr>
        <w:pStyle w:val="Heading1"/>
      </w:pPr>
      <w:r>
        <w:t>Kurzprofil</w:t>
      </w:r>
    </w:p>
    <w:tbl>
      <w:tblPr>
        <w:tblW w:type="auto" w:w="0"/>
        <w:jc w:val="center"/>
        <w:tblLook w:firstColumn="1" w:firstRow="1" w:lastColumn="0" w:lastRow="0" w:noHBand="0" w:noVBand="1" w:val="04A0"/>
      </w:tblPr>
      <w:tblGrid>
        <w:gridCol w:w="4986"/>
        <w:gridCol w:w="4986"/>
      </w:tblGrid>
      <w:tr>
        <w:tc>
          <w:tcPr>
            <w:tcW w:type="dxa" w:w="4986"/>
            <w:tcBorders>
              <w:top w:val="single" w:sz="6" w:color="D9D3C7"/>
              <w:left w:val="single" w:sz="6" w:color="D9D3C7"/>
              <w:bottom w:val="single" w:sz="6" w:color="D9D3C7"/>
              <w:right w:val="single" w:sz="6" w:color="D9D3C7"/>
            </w:tcBorders>
            <w:shd w:fill="FFFFFF"/>
          </w:tcPr>
          <w:p>
            <w:r>
              <w:rPr>
                <w:rFonts w:ascii="Source Sans 3" w:hAnsi="Source Sans 3"/>
                <w:b/>
                <w:color w:val="277D5C"/>
                <w:sz w:val="18"/>
              </w:rPr>
              <w:t>Dokumenttyp</w:t>
            </w:r>
          </w:p>
        </w:tc>
        <w:tc>
          <w:tcPr>
            <w:tcW w:type="dxa" w:w="4986"/>
            <w:tcBorders>
              <w:top w:val="single" w:sz="6" w:color="D9D3C7"/>
              <w:left w:val="single" w:sz="6" w:color="D9D3C7"/>
              <w:bottom w:val="single" w:sz="6" w:color="D9D3C7"/>
              <w:right w:val="single" w:sz="6" w:color="D9D3C7"/>
            </w:tcBorders>
            <w:shd w:fill="FFFFFF"/>
          </w:tcPr>
          <w:p>
            <w:r>
              <w:rPr>
                <w:rFonts w:ascii="Source Sans 3" w:hAnsi="Source Sans 3"/>
                <w:color w:val="2A2A2C"/>
                <w:sz w:val="18"/>
              </w:rPr>
              <w:t>Öffentliches Detailkonzept</w:t>
            </w:r>
          </w:p>
        </w:tc>
      </w:tr>
      <w:tr>
        <w:tc>
          <w:tcPr>
            <w:tcW w:type="dxa" w:w="4986"/>
            <w:tcBorders>
              <w:top w:val="single" w:sz="6" w:color="D9D3C7"/>
              <w:left w:val="single" w:sz="6" w:color="D9D3C7"/>
              <w:bottom w:val="single" w:sz="6" w:color="D9D3C7"/>
              <w:right w:val="single" w:sz="6" w:color="D9D3C7"/>
            </w:tcBorders>
            <w:shd w:fill="FAF8F3"/>
          </w:tcPr>
          <w:p>
            <w:r>
              <w:rPr>
                <w:rFonts w:ascii="Source Sans 3" w:hAnsi="Source Sans 3"/>
                <w:b/>
                <w:color w:val="277D5C"/>
                <w:sz w:val="18"/>
              </w:rPr>
              <w:t>Zugehöriges Portal</w:t>
            </w:r>
          </w:p>
        </w:tc>
        <w:tc>
          <w:tcPr>
            <w:tcW w:type="dxa" w:w="4986"/>
            <w:tcBorders>
              <w:top w:val="single" w:sz="6" w:color="D9D3C7"/>
              <w:left w:val="single" w:sz="6" w:color="D9D3C7"/>
              <w:bottom w:val="single" w:sz="6" w:color="D9D3C7"/>
              <w:right w:val="single" w:sz="6" w:color="D9D3C7"/>
            </w:tcBorders>
            <w:shd w:fill="FAF8F3"/>
          </w:tcPr>
          <w:p>
            <w:r>
              <w:rPr>
                <w:rFonts w:ascii="Source Sans 3" w:hAnsi="Source Sans 3"/>
                <w:color w:val="2A2A2C"/>
                <w:sz w:val="18"/>
              </w:rPr>
              <w:t>Staat, Recht &amp; Demokratie</w:t>
            </w:r>
          </w:p>
        </w:tc>
      </w:tr>
      <w:tr>
        <w:tc>
          <w:tcPr>
            <w:tcW w:type="dxa" w:w="4986"/>
            <w:tcBorders>
              <w:top w:val="single" w:sz="6" w:color="D9D3C7"/>
              <w:left w:val="single" w:sz="6" w:color="D9D3C7"/>
              <w:bottom w:val="single" w:sz="6" w:color="D9D3C7"/>
              <w:right w:val="single" w:sz="6" w:color="D9D3C7"/>
            </w:tcBorders>
            <w:shd w:fill="FFFFFF"/>
          </w:tcPr>
          <w:p>
            <w:r>
              <w:rPr>
                <w:rFonts w:ascii="Source Sans 3" w:hAnsi="Source Sans 3"/>
                <w:b/>
                <w:color w:val="277D5C"/>
                <w:sz w:val="18"/>
              </w:rPr>
              <w:t>Unterbereich</w:t>
            </w:r>
          </w:p>
        </w:tc>
        <w:tc>
          <w:tcPr>
            <w:tcW w:type="dxa" w:w="4986"/>
            <w:tcBorders>
              <w:top w:val="single" w:sz="6" w:color="D9D3C7"/>
              <w:left w:val="single" w:sz="6" w:color="D9D3C7"/>
              <w:bottom w:val="single" w:sz="6" w:color="D9D3C7"/>
              <w:right w:val="single" w:sz="6" w:color="D9D3C7"/>
            </w:tcBorders>
            <w:shd w:fill="FFFFFF"/>
          </w:tcPr>
          <w:p>
            <w:r>
              <w:rPr>
                <w:rFonts w:ascii="Source Sans 3" w:hAnsi="Source Sans 3"/>
                <w:color w:val="2A2A2C"/>
                <w:sz w:val="18"/>
              </w:rPr>
              <w:t>Grundrechte, Verhältnismäßigkeit, Rechtsschutz, Datenschutz, Technokratieschutz</w:t>
            </w:r>
          </w:p>
        </w:tc>
      </w:tr>
      <w:tr>
        <w:tc>
          <w:tcPr>
            <w:tcW w:type="dxa" w:w="4986"/>
            <w:tcBorders>
              <w:top w:val="single" w:sz="6" w:color="D9D3C7"/>
              <w:left w:val="single" w:sz="6" w:color="D9D3C7"/>
              <w:bottom w:val="single" w:sz="6" w:color="D9D3C7"/>
              <w:right w:val="single" w:sz="6" w:color="D9D3C7"/>
            </w:tcBorders>
            <w:shd w:fill="FAF8F3"/>
          </w:tcPr>
          <w:p>
            <w:r>
              <w:rPr>
                <w:rFonts w:ascii="Source Sans 3" w:hAnsi="Source Sans 3"/>
                <w:b/>
                <w:color w:val="277D5C"/>
                <w:sz w:val="18"/>
              </w:rPr>
              <w:t>Autorin</w:t>
            </w:r>
          </w:p>
        </w:tc>
        <w:tc>
          <w:tcPr>
            <w:tcW w:type="dxa" w:w="4986"/>
            <w:tcBorders>
              <w:top w:val="single" w:sz="6" w:color="D9D3C7"/>
              <w:left w:val="single" w:sz="6" w:color="D9D3C7"/>
              <w:bottom w:val="single" w:sz="6" w:color="D9D3C7"/>
              <w:right w:val="single" w:sz="6" w:color="D9D3C7"/>
            </w:tcBorders>
            <w:shd w:fill="FAF8F3"/>
          </w:tcPr>
          <w:p>
            <w:r>
              <w:rPr>
                <w:rFonts w:ascii="Source Sans 3" w:hAnsi="Source Sans 3"/>
                <w:color w:val="2A2A2C"/>
                <w:sz w:val="18"/>
              </w:rPr>
              <w:t>Natalie Weber · Wirkungsökonomie</w:t>
            </w:r>
          </w:p>
        </w:tc>
      </w:tr>
      <w:tr>
        <w:tc>
          <w:tcPr>
            <w:tcW w:type="dxa" w:w="4986"/>
            <w:tcBorders>
              <w:top w:val="single" w:sz="6" w:color="D9D3C7"/>
              <w:left w:val="single" w:sz="6" w:color="D9D3C7"/>
              <w:bottom w:val="single" w:sz="6" w:color="D9D3C7"/>
              <w:right w:val="single" w:sz="6" w:color="D9D3C7"/>
            </w:tcBorders>
            <w:shd w:fill="FFFFFF"/>
          </w:tcPr>
          <w:p>
            <w:r>
              <w:rPr>
                <w:rFonts w:ascii="Source Sans 3" w:hAnsi="Source Sans 3"/>
                <w:b/>
                <w:color w:val="277D5C"/>
                <w:sz w:val="18"/>
              </w:rPr>
              <w:t>Öffentlichkeit</w:t>
            </w:r>
          </w:p>
        </w:tc>
        <w:tc>
          <w:tcPr>
            <w:tcW w:type="dxa" w:w="4986"/>
            <w:tcBorders>
              <w:top w:val="single" w:sz="6" w:color="D9D3C7"/>
              <w:left w:val="single" w:sz="6" w:color="D9D3C7"/>
              <w:bottom w:val="single" w:sz="6" w:color="D9D3C7"/>
              <w:right w:val="single" w:sz="6" w:color="D9D3C7"/>
            </w:tcBorders>
            <w:shd w:fill="FFFFFF"/>
          </w:tcPr>
          <w:p>
            <w:r>
              <w:rPr>
                <w:rFonts w:ascii="Source Sans 3" w:hAnsi="Source Sans 3"/>
                <w:color w:val="2A2A2C"/>
                <w:sz w:val="18"/>
              </w:rPr>
              <w:t>Enthält keine internen CodeX-/Repository-Anweisungen</w:t>
            </w:r>
          </w:p>
        </w:tc>
      </w:tr>
      <w:tr>
        <w:tc>
          <w:tcPr>
            <w:tcW w:type="dxa" w:w="4986"/>
            <w:tcBorders>
              <w:top w:val="single" w:sz="6" w:color="D9D3C7"/>
              <w:left w:val="single" w:sz="6" w:color="D9D3C7"/>
              <w:bottom w:val="single" w:sz="6" w:color="D9D3C7"/>
              <w:right w:val="single" w:sz="6" w:color="D9D3C7"/>
            </w:tcBorders>
            <w:shd w:fill="FAF8F3"/>
          </w:tcPr>
          <w:p>
            <w:r>
              <w:rPr>
                <w:rFonts w:ascii="Source Sans 3" w:hAnsi="Source Sans 3"/>
                <w:b/>
                <w:color w:val="277D5C"/>
                <w:sz w:val="18"/>
              </w:rPr>
              <w:t>Hinweis</w:t>
            </w:r>
          </w:p>
        </w:tc>
        <w:tc>
          <w:tcPr>
            <w:tcW w:type="dxa" w:w="4986"/>
            <w:tcBorders>
              <w:top w:val="single" w:sz="6" w:color="D9D3C7"/>
              <w:left w:val="single" w:sz="6" w:color="D9D3C7"/>
              <w:bottom w:val="single" w:sz="6" w:color="D9D3C7"/>
              <w:right w:val="single" w:sz="6" w:color="D9D3C7"/>
            </w:tcBorders>
            <w:shd w:fill="FAF8F3"/>
          </w:tcPr>
          <w:p>
            <w:r>
              <w:rPr>
                <w:rFonts w:ascii="Source Sans 3" w:hAnsi="Source Sans 3"/>
                <w:color w:val="2A2A2C"/>
                <w:sz w:val="18"/>
              </w:rPr>
              <w:t>Konzeptionelle Arbeitsfassung; keine Rechts-, Steuer-, Anlage- oder Politikberatung</w:t>
            </w:r>
          </w:p>
        </w:tc>
      </w:tr>
    </w:tbl>
    <w:p>
      <w:pPr>
        <w:pStyle w:val="Heading1"/>
      </w:pPr>
      <w:r>
        <w:t>Inhaltsübersicht</w:t>
      </w:r>
    </w:p>
    <w:p>
      <w:pPr>
        <w:spacing w:after="30"/>
        <w:ind w:left="170"/>
      </w:pPr>
      <w:r>
        <w:t>1. Executive Summary</w:t>
      </w:r>
    </w:p>
    <w:p>
      <w:pPr>
        <w:spacing w:after="30"/>
        <w:ind w:left="170"/>
      </w:pPr>
      <w:r>
        <w:t>2. Ausgangsdiagnose: Warum der Technokratievorwurf ernst ist</w:t>
      </w:r>
    </w:p>
    <w:p>
      <w:pPr>
        <w:spacing w:after="30"/>
        <w:ind w:left="170"/>
      </w:pPr>
      <w:r>
        <w:t>3. Grundrechtsarchitektur der Wirkungsökonomie</w:t>
      </w:r>
    </w:p>
    <w:p>
      <w:pPr>
        <w:spacing w:after="30"/>
        <w:ind w:left="170"/>
      </w:pPr>
      <w:r>
        <w:t>4. Verhältnismäßigkeit als Kernfilter</w:t>
      </w:r>
    </w:p>
    <w:p>
      <w:pPr>
        <w:spacing w:after="30"/>
        <w:ind w:left="170"/>
      </w:pPr>
      <w:r>
        <w:t>5. Keine Personenbewertung: Die rote Linie</w:t>
      </w:r>
    </w:p>
    <w:p>
      <w:pPr>
        <w:spacing w:after="30"/>
        <w:ind w:left="170"/>
      </w:pPr>
      <w:r>
        <w:t>6. Rechtsschutz und Verfahrensrechte</w:t>
      </w:r>
    </w:p>
    <w:p>
      <w:pPr>
        <w:spacing w:after="30"/>
        <w:ind w:left="170"/>
      </w:pPr>
      <w:r>
        <w:t>7. Datenqualität, Algorithmik und Auditierbarkeit</w:t>
      </w:r>
    </w:p>
    <w:p>
      <w:pPr>
        <w:spacing w:after="30"/>
        <w:ind w:left="170"/>
      </w:pPr>
      <w:r>
        <w:t>8. Schutz kleiner Akteure, sozialer Härten und legitimer Zielkonflikte</w:t>
      </w:r>
    </w:p>
    <w:p>
      <w:pPr>
        <w:spacing w:after="30"/>
        <w:ind w:left="170"/>
      </w:pPr>
      <w:r>
        <w:t>9. Politische Anschlussfähigkeit und Umsetzungsoptionen</w:t>
      </w:r>
    </w:p>
    <w:p>
      <w:pPr>
        <w:spacing w:after="30"/>
        <w:ind w:left="170"/>
      </w:pPr>
      <w:r>
        <w:t>10. Website- und Portalintegration</w:t>
      </w:r>
    </w:p>
    <w:p>
      <w:pPr>
        <w:spacing w:after="30"/>
        <w:ind w:left="170"/>
      </w:pPr>
      <w:r>
        <w:t>11. Quellen und Anschlussdokumente</w:t>
      </w:r>
    </w:p>
    <w:p>
      <w:pPr>
        <w:spacing w:after="30"/>
        <w:ind w:left="170"/>
      </w:pPr>
      <w:r>
        <w:t>12. Fazit</w:t>
      </w:r>
    </w:p>
    <w:p>
      <w:r>
        <w:br w:type="page"/>
      </w:r>
    </w:p>
    <w:p>
      <w:pPr>
        <w:pStyle w:val="Heading1"/>
      </w:pPr>
      <w:r>
        <w:t>Executive Summary</w:t>
      </w:r>
    </w:p>
    <w:p>
      <w:r>
        <w:t>Dieses Detailkonzept formuliert die Schutzarchitektur der Wirkungsökonomie. Es nimmt den wichtigsten Einwand ernst: Wenn Wirkung gemessen, bewertet und in Steuern, Förderung, Kapitalzugang oder öffentliche Entscheidungen rückgekoppelt wird, kann daraus eine technokratische oder übergriffige Ordnung werden. Genau deshalb braucht die WÖk von Anfang an Grundrechte, Verhältnismäßigkeit, Rechtsschutz, Datenschutz, demokratische Kontrolle und klare rote Linien.</w:t>
      </w:r>
    </w:p>
    <w:p>
      <w:r>
        <w:t>Die Wirkungsökonomie darf keine Personenbewertung werden. Sie bewertet nicht den Wert von Menschen, sondern Wirkungen von Produkten, Organisationen, Kapitalflüssen, Programmen, öffentlichen Maßnahmen, Medienräumen oder Infrastrukturen. Wo individuelle Rechte berührt werden, braucht es Transparenz, Begründung, Widerspruch, gerichtliche Kontrolle und Verhältnismäßigkeit.</w:t>
      </w:r>
    </w:p>
    <w:p>
      <w:r>
        <w:t>Dieses Konzept trennt daher drei Ebenen: erstens Wirkungsdaten als Erkenntnisgrundlage, zweitens Wirkungsbewertung als methodisch-demokratische Einordnung, drittens Rechtsfolge als politisch und rechtlich kontrollierte Entscheidung. Keine Ebene darf die andere ersetzen.</w:t>
      </w:r>
    </w:p>
    <w:p>
      <w:pPr>
        <w:pStyle w:val="Heading1"/>
      </w:pPr>
      <w:r>
        <w:t>Ausgangsdiagnose: Warum der Technokratievorwurf ernst ist</w:t>
      </w:r>
    </w:p>
    <w:p>
      <w:r>
        <w:t>Neue Messsysteme erzeugen Macht. Was gemessen wird, kann gesteuert werden. Was gesteuert wird, kann missbraucht werden. Die WÖk darf daher nicht naiv davon ausgehen, dass bessere Daten automatisch bessere Politik erzeugen. Daten können verkürzt, manipuliert, selektiv verwendet oder gegen die Falschen eingesetzt werden.</w:t>
      </w:r>
    </w:p>
    <w:p>
      <w:r>
        <w:t>Der Technokratievorwurf wird besonders dort stark, wo Bürger:innen befürchten, dass Algorithmen, Expertengremien oder Indikatoren politische Entscheidung ersetzen. Deshalb muss die WÖk offen sagen: Wirkungsdaten bereiten Entscheidungen vor, aber sie entscheiden nicht allein. Normative Prioritäten bleiben demokratisch. Rechtsfolgen bleiben justiziabel. Grundrechte bleiben Grenze.</w:t>
      </w:r>
    </w:p>
    <w:tbl>
      <w:tblPr>
        <w:tblW w:type="auto" w:w="0"/>
        <w:jc w:val="center"/>
        <w:tblLayout w:type="autofit"/>
        <w:tblLook w:firstColumn="1" w:firstRow="1" w:lastColumn="0" w:lastRow="0" w:noHBand="0" w:noVBand="1" w:val="04A0"/>
      </w:tblPr>
      <w:tblGrid>
        <w:gridCol w:w="3324"/>
        <w:gridCol w:w="3324"/>
        <w:gridCol w:w="3324"/>
      </w:tblGrid>
      <w:tr>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Risiko</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Wie es entstehen kann</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WÖk-Schutz</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Social-Credit-Logik</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Personen werden nach Verhalten gescored</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keine Personenbewertung, System- und Objektbezug</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Expertokratie</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Indikatoren ersetzen politische Abwägung</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parlamentarische Entscheidung, öffentliche Konsultation</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Algorithmische Intransparenz</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Black-Box-Modelle bestimmen Rechtsfolgen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Erklärbarkeit, Dokumentation, Audit, Rechtsschutz</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Datenübergriff</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Wirkungsdaten werden personenbezogen überdehnt</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Datenminimierung, Zweckbindung, Datenschutz, Widerspruch</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Scheinpräzision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Unsicherheit wird als Gewissheit verkauft</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Unsicherheitsmarkierung, Versionierung, Evaluation</w:t>
            </w:r>
          </w:p>
        </w:tc>
      </w:tr>
    </w:tbl>
    <w:p/>
    <w:p>
      <w:pPr>
        <w:pStyle w:val="Heading1"/>
      </w:pPr>
      <w:r>
        <w:t>Grundrechtsarchitektur der Wirkungsökonomie</w:t>
      </w:r>
    </w:p>
    <w:p>
      <w:r>
        <w:t>Die WÖk muss in die bestehende verfassungsrechtliche Ordnung eingebettet werden. Das bedeutet: Menschenwürde, Freiheit, Gleichheit, Eigentum, Berufsfreiheit, Meinungsfreiheit, Datenschutz, Rechtsschutz und demokratische Teilhabe sind nicht nachrangig gegenüber Wirkung. Sie sind selbst Wirkungsbedingungen einer freien Ordnung.</w:t>
      </w:r>
    </w:p>
    <w:p>
      <w:r>
        <w:t>Gerade deshalb darf Wirkung nicht als pauschale Rechtfertigung für jede Lenkung dienen. Eine Maßnahme kann ein legitimes Ziel verfolgen und dennoch unverhältnismäßig sein. Eine Datenlogik kann gut gemeint sein und dennoch diskriminieren. Ein Score kann methodisch plausibel sein und dennoch im Einzelfall falsch liegen. Die Wirkungsökonomie muss diese Fehlbarkeit ausdrücklich einbauen.</w:t>
      </w:r>
    </w:p>
    <w:tbl>
      <w:tblPr>
        <w:tblW w:type="auto" w:w="0"/>
        <w:jc w:val="center"/>
        <w:tblLayout w:type="autofit"/>
        <w:tblLook w:firstColumn="1" w:firstRow="1" w:lastColumn="0" w:lastRow="0" w:noHBand="0" w:noVBand="1" w:val="04A0"/>
      </w:tblPr>
      <w:tblGrid>
        <w:gridCol w:w="3324"/>
        <w:gridCol w:w="3324"/>
        <w:gridCol w:w="3324"/>
      </w:tblGrid>
      <w:tr>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Grundrechtsfeld</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WÖk-relevantes Risiko</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Schutzregel</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Menschenwürde</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Menschen werden zu Score-Trägern reduziert</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keine Bewertung menschlichen Werts, keine Entwürdigung</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Freiheit und Beruf</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Lenkung wird faktisches Verbot</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Verhältnismäßigkeit, Übergänge, Alternativen</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Gleichheit</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Indikatoren benachteiligen Gruppen oder KMU</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Datenprüfung, Kontextbenchmarks, Härtefälle</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Eigentum</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Wirkungspflichten wirken enteignungsgleich</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Abwägung, Übergangsfristen, Rechtsschutz</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Meinungsfreiheit</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Medienwirkung wird zur Zensur missverstanden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Bewertung von Infrastruktur/Risiko, nicht Meinungsinhalten</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Rechtsschutz</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Betroffene können Scores nicht angreifen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Begründung, Einspruch, unabhängige Prüfung, Gericht</w:t>
            </w:r>
          </w:p>
        </w:tc>
      </w:tr>
    </w:tbl>
    <w:p/>
    <w:p>
      <w:pPr>
        <w:pStyle w:val="Heading1"/>
      </w:pPr>
      <w:r>
        <w:t>Verhältnismäßigkeit als Kernfilter</w:t>
      </w:r>
    </w:p>
    <w:p>
      <w:r>
        <w:t>Jede wirkungsökonomische Rechtsfolge muss verhältnismäßig sein. Das bedeutet nicht, dass Wirkung folgenlos bleibt. Es bedeutet, dass Ziel, Mittel, Eingriffsintensität, Alternativen, Datenqualität, Übergang und Schutzmechanismen zusammen betrachtet werden müssen.</w:t>
      </w:r>
    </w:p>
    <w:tbl>
      <w:tblPr>
        <w:tblW w:type="auto" w:w="0"/>
        <w:jc w:val="center"/>
        <w:tblLayout w:type="autofit"/>
        <w:tblLook w:firstColumn="1" w:firstRow="1" w:lastColumn="0" w:lastRow="0" w:noHBand="0" w:noVBand="1" w:val="04A0"/>
      </w:tblPr>
      <w:tblGrid>
        <w:gridCol w:w="3324"/>
        <w:gridCol w:w="3324"/>
        <w:gridCol w:w="3324"/>
      </w:tblGrid>
      <w:tr>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Prüfschritt</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Leitfrage</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WÖk-Anwendung</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Legitimes Ziel</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Wird Mensch, Planet oder Demokratie geschützt?</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SDG/SDG+ Bezug offenlegen</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Geeignetheit</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Kann die Maßnahme die Wirkung verbessern?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Wirkungspfad und Datenbasis prüfen</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Erforderlichkeit</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Gibt es ein milderes gleich wirksames Mittel?</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Bonus statt Verbot, Pilot statt Flächenumstellung</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Angemessenheit</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Steht der Eingriff zur Wirkung im Verhältnis?</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soziale Abfederung, KMU-Schutz, Grundrechte</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Korrektur</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Kann die Entscheidung überprüft und geändert werden?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Revisionszyklen, Einspruch, Wirkungsrat, Gerichte</w:t>
            </w:r>
          </w:p>
        </w:tc>
      </w:tr>
    </w:tbl>
    <w:p/>
    <w:p>
      <w:pPr>
        <w:pStyle w:val="Heading1"/>
      </w:pPr>
      <w:r>
        <w:t>Keine Personenbewertung: Die rote Linie</w:t>
      </w:r>
    </w:p>
    <w:p>
      <w:r>
        <w:t>Die wichtigste rote Linie lautet: Die Wirkungsökonomie ist kein Social-Credit-System. Sie bewertet nicht Bürger:innen als bessere oder schlechtere Menschen. Sie bewertet Wirkungen von Handlungen, Produkten, Organisationen, Kapitalflüssen, Programmen und öffentlichen Räumen im jeweiligen Kontext.</w:t>
      </w:r>
    </w:p>
    <w:p>
      <w:r>
        <w:t>Selbst dort, wo individuelle Einkommen oder Tätigkeiten betroffen sind, geht es nicht um Moralurteile über Personen. Es geht um die Wirkung der Einkommensquelle, der Organisation, der Tätigkeit oder des Sektors. Persönliche Würde, Grundrechte und soziale Teilhabe dürfen nicht an Scores gebunden werden.</w:t>
      </w:r>
    </w:p>
    <w:tbl>
      <w:tblPr>
        <w:tblW w:type="auto" w:w="0"/>
        <w:jc w:val="center"/>
        <w:tblLook w:firstColumn="1" w:firstRow="1" w:lastColumn="0" w:lastRow="0" w:noHBand="0" w:noVBand="1" w:val="04A0"/>
      </w:tblPr>
      <w:tblGrid>
        <w:gridCol w:w="9972"/>
      </w:tblGrid>
      <w:tr>
        <w:tc>
          <w:tcPr>
            <w:tcW w:type="dxa" w:w="9972"/>
            <w:shd w:fill="F6F1E8"/>
            <w:tcBorders>
              <w:top w:val="single" w:sz="8" w:color="CFC7B6"/>
              <w:left w:val="single" w:sz="8" w:color="CFC7B6"/>
              <w:bottom w:val="single" w:sz="8" w:color="CFC7B6"/>
              <w:right w:val="single" w:sz="8" w:color="CFC7B6"/>
            </w:tcBorders>
          </w:tcPr>
          <w:p>
            <w:r>
              <w:rPr>
                <w:rFonts w:ascii="Source Sans 3" w:hAnsi="Source Sans 3"/>
                <w:b/>
                <w:color w:val="277D5C"/>
                <w:sz w:val="19"/>
              </w:rPr>
              <w:t>Rote Linie</w:t>
            </w:r>
          </w:p>
          <w:p>
            <w:r>
              <w:rPr>
                <w:rFonts w:ascii="Source Sans 3" w:hAnsi="Source Sans 3"/>
                <w:color w:val="2A2A2C"/>
                <w:sz w:val="20"/>
              </w:rPr>
              <w:t>Kein Mensch verliert Würde, Grundrechte oder soziale Teilhabe wegen eines Wirkungswerts. WÖk-Scores dürfen Systeme lenken, aber keine Menschen entwerten.</w:t>
            </w:r>
          </w:p>
        </w:tc>
      </w:tr>
    </w:tbl>
    <w:p/>
    <w:p>
      <w:pPr>
        <w:pStyle w:val="Heading1"/>
      </w:pPr>
      <w:r>
        <w:t>Rechtsschutz und Verfahrensrechte</w:t>
      </w:r>
    </w:p>
    <w:p>
      <w:r>
        <w:t>Jede wirkungsrelevante Entscheidung mit Rechtsfolge braucht ein Verfahren. Dazu gehören Akteneinsicht, Begründung, Datenherkunft, methodische Erläuterung, Korrekturmöglichkeit, Einspruch, unabhängige Überprüfung und gerichtlicher Rechtsschutz. Ohne diese Verfahren wird Wirkungsmessung zur Verwaltungsmacht ohne Gegengewicht.</w:t>
      </w:r>
    </w:p>
    <w:tbl>
      <w:tblPr>
        <w:tblW w:type="auto" w:w="0"/>
        <w:jc w:val="center"/>
        <w:tblLayout w:type="autofit"/>
        <w:tblLook w:firstColumn="1" w:firstRow="1" w:lastColumn="0" w:lastRow="0" w:noHBand="0" w:noVBand="1" w:val="04A0"/>
      </w:tblPr>
      <w:tblGrid>
        <w:gridCol w:w="3324"/>
        <w:gridCol w:w="3324"/>
        <w:gridCol w:w="3324"/>
      </w:tblGrid>
      <w:tr>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Verfahrensrecht</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Inhalt</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Zweck</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Begründungspflicht</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Warum wurde ein Score oder eine Klasse vergeben?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Nachvollziehbarkeit</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Datenzugang</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Welche Daten wurden genutzt?</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Prüfbarkeit</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Methodentransparenz</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Welche Indikatoren, Benchmarks und Gewichtungen gelten?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Missbrauchsschutz</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Korrekturrecht</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Fehlerhafte Daten können korrigiert werden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Fairness</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Einspruch</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Betroffene können widersprechen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Rechtsschutz</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Gerichtliche Kontrolle</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Rechtsfolgen sind überprüfbar</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Rechtsstaatlichkeit</w:t>
            </w:r>
          </w:p>
        </w:tc>
      </w:tr>
    </w:tbl>
    <w:p/>
    <w:p>
      <w:pPr>
        <w:pStyle w:val="Heading1"/>
      </w:pPr>
      <w:r>
        <w:t>Datenqualität, Algorithmik und Auditierbarkeit</w:t>
      </w:r>
    </w:p>
    <w:p>
      <w:r>
        <w:t>Wirkungsdaten können nur dann rechtsstaatlich relevant werden, wenn ihre Qualität dokumentiert wird. Dazu gehören Herkunft, Aktualität, Messmethode, Unsicherheit, Plausibilisierung, Prüftiefe und Versionsstand. Algorithmische Modelle müssen erklärbar und auditierbar sein. Black-Box-Wirkung darf keine unmittelbare Rechtsfolge erzeugen.</w:t>
      </w:r>
    </w:p>
    <w:p>
      <w:pPr>
        <w:ind w:left="283" w:hanging="142"/>
      </w:pPr>
      <w:r>
        <w:rPr>
          <w:rFonts w:ascii="Source Sans 3" w:hAnsi="Source Sans 3"/>
          <w:color w:val="2A2A2C"/>
          <w:sz w:val="20"/>
        </w:rPr>
        <w:t>• Jeder Wirkungswert braucht eine Datenqualitätsstufe.</w:t>
      </w:r>
    </w:p>
    <w:p>
      <w:pPr>
        <w:ind w:left="283" w:hanging="142"/>
      </w:pPr>
      <w:r>
        <w:rPr>
          <w:rFonts w:ascii="Source Sans 3" w:hAnsi="Source Sans 3"/>
          <w:color w:val="2A2A2C"/>
          <w:sz w:val="20"/>
        </w:rPr>
        <w:t>• Benchmarks und WÖk-IDs müssen versioniert und öffentlich dokumentiert sein.</w:t>
      </w:r>
    </w:p>
    <w:p>
      <w:pPr>
        <w:ind w:left="283" w:hanging="142"/>
      </w:pPr>
      <w:r>
        <w:rPr>
          <w:rFonts w:ascii="Source Sans 3" w:hAnsi="Source Sans 3"/>
          <w:color w:val="2A2A2C"/>
          <w:sz w:val="20"/>
        </w:rPr>
        <w:t>• Automatisierte Bewertungen brauchen menschliche Prüfbarkeit und Widerspruchswege.</w:t>
      </w:r>
    </w:p>
    <w:p>
      <w:pPr>
        <w:ind w:left="283" w:hanging="142"/>
      </w:pPr>
      <w:r>
        <w:rPr>
          <w:rFonts w:ascii="Source Sans 3" w:hAnsi="Source Sans 3"/>
          <w:color w:val="2A2A2C"/>
          <w:sz w:val="20"/>
        </w:rPr>
        <w:t>• Unsichere Daten dürfen nicht so behandelt werden wie geprüfte Daten.</w:t>
      </w:r>
    </w:p>
    <w:p>
      <w:pPr>
        <w:ind w:left="283" w:hanging="142"/>
      </w:pPr>
      <w:r>
        <w:rPr>
          <w:rFonts w:ascii="Source Sans 3" w:hAnsi="Source Sans 3"/>
          <w:color w:val="2A2A2C"/>
          <w:sz w:val="20"/>
        </w:rPr>
        <w:t>• Nichtberichterstattung darf nicht belohnt werden; zugleich braucht es Übergangsregeln und Schätzlogik.</w:t>
      </w:r>
    </w:p>
    <w:p>
      <w:pPr>
        <w:pStyle w:val="Heading1"/>
      </w:pPr>
      <w:r>
        <w:t>Schutz kleiner Akteure, sozialer Härten und legitimer Zielkonflikte</w:t>
      </w:r>
    </w:p>
    <w:p>
      <w:r>
        <w:t>Wirkungsökonomie darf nicht dazu führen, dass kleine Unternehmen, gemeinnützige Träger, Kommunen oder einkommensschwache Haushalte durch Komplexität überfordert werden. Gerade dort braucht es vereinfachte Profile, Förderlotsen, Übergangsfristen, Standardwerte, Beratung, Härtefallregeln und soziale Abfederung.</w:t>
      </w:r>
    </w:p>
    <w:tbl>
      <w:tblPr>
        <w:tblW w:type="auto" w:w="0"/>
        <w:jc w:val="center"/>
        <w:tblLayout w:type="autofit"/>
        <w:tblLook w:firstColumn="1" w:firstRow="1" w:lastColumn="0" w:lastRow="0" w:noHBand="0" w:noVBand="1" w:val="04A0"/>
      </w:tblPr>
      <w:tblGrid>
        <w:gridCol w:w="3324"/>
        <w:gridCol w:w="3324"/>
        <w:gridCol w:w="3324"/>
      </w:tblGrid>
      <w:tr>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Schutzbereich</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Problem</w:t>
            </w:r>
          </w:p>
        </w:tc>
        <w:tc>
          <w:tcPr>
            <w:tcW w:type="dxa" w:w="3324"/>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Lösung</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KMU</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Berichts- und Prüfungslast</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vereinfachte Scorecards, Branchenprofile, Beratung</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Kommunen</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Datenmangel und Personalmangel</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Pilotmodule, standardisierte Indikatoren, interkommunale Plattformen</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Haushalte</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Preisänderungen treffen Kaufkraft</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Klimageld/Wirkungsdividende, soziale Ausgleichslogik</w:t>
            </w:r>
          </w:p>
        </w:tc>
      </w:tr>
      <w:tr>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Gemeinnützige Träger</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Wirkung schwer quantifizierbar</w:t>
            </w:r>
          </w:p>
        </w:tc>
        <w:tc>
          <w:tcPr>
            <w:tcW w:type="dxa" w:w="3324"/>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qualitative Nachweise, vereinfachte Dossiers</w:t>
            </w:r>
          </w:p>
        </w:tc>
      </w:tr>
      <w:tr>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Innovation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neue Lösungen haben anfangs unsichere Daten</w:t>
            </w:r>
          </w:p>
        </w:tc>
        <w:tc>
          <w:tcPr>
            <w:tcW w:type="dxa" w:w="3324"/>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Experimentierklauseln, befristete Piloträume</w:t>
            </w:r>
          </w:p>
        </w:tc>
      </w:tr>
    </w:tbl>
    <w:p/>
    <w:p>
      <w:pPr>
        <w:pStyle w:val="Heading1"/>
      </w:pPr>
      <w:r>
        <w:t>Politische Anschlussfähigkeit und Umsetzungsoptionen</w:t>
      </w:r>
    </w:p>
    <w:tbl>
      <w:tblPr>
        <w:tblW w:type="auto" w:w="0"/>
        <w:jc w:val="center"/>
        <w:tblLayout w:type="autofit"/>
        <w:tblLook w:firstColumn="1" w:firstRow="1" w:lastColumn="0" w:lastRow="0" w:noHBand="0" w:noVBand="1" w:val="04A0"/>
      </w:tblPr>
      <w:tblGrid>
        <w:gridCol w:w="4986"/>
        <w:gridCol w:w="4986"/>
      </w:tblGrid>
      <w:tr>
        <w:tc>
          <w:tcPr>
            <w:tcW w:type="dxa" w:w="4986"/>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Ebene</w:t>
            </w:r>
          </w:p>
        </w:tc>
        <w:tc>
          <w:tcPr>
            <w:tcW w:type="dxa" w:w="4986"/>
            <w:shd w:fill="F6F1E8"/>
            <w:tcBorders>
              <w:top w:val="single" w:sz="6" w:color="D9D3C7"/>
              <w:left w:val="single" w:sz="6" w:color="D9D3C7"/>
              <w:bottom w:val="single" w:sz="6" w:color="D9D3C7"/>
              <w:right w:val="single" w:sz="6" w:color="D9D3C7"/>
            </w:tcBorders>
          </w:tcPr>
          <w:p>
            <w:r>
              <w:rPr>
                <w:rFonts w:ascii="Source Sans 3" w:hAnsi="Source Sans 3"/>
                <w:b/>
                <w:color w:val="0A1022"/>
                <w:sz w:val="17"/>
              </w:rPr>
              <w:t>Aufgabe für Politik und Umsetzung</w:t>
            </w:r>
          </w:p>
        </w:tc>
      </w:tr>
      <w:tr>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Aufgabe der Politik</w:t>
            </w:r>
          </w:p>
        </w:tc>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Wirkungssteuerung so begrenzen, dass sie Freiheit, Grundrechte und demokratische Abwägung stärkt.</w:t>
            </w:r>
          </w:p>
        </w:tc>
      </w:tr>
      <w:tr>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Politische Rahmenbedingungen</w:t>
            </w:r>
          </w:p>
        </w:tc>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Rechtsschutz, Datenrechte, Methodentransparenz, Prüfstandards, Härtefallregeln, Technokratieschutz.</w:t>
            </w:r>
          </w:p>
        </w:tc>
      </w:tr>
      <w:tr>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Ausgestaltungsspielraum</w:t>
            </w:r>
          </w:p>
        </w:tc>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Parteien können unterschiedliche Eingriffstiefen, Übergangsfristen, Schutzmechanismen und Kontrollinstanzen wählen.</w:t>
            </w:r>
          </w:p>
        </w:tc>
      </w:tr>
      <w:tr>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Zielkonflikte</w:t>
            </w:r>
          </w:p>
        </w:tc>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Wirksamkeit vs. Freiheit, Datenqualität vs. Bürokratiearmut, Automatisierung vs. Einzelfallgerechtigkeit.</w:t>
            </w:r>
          </w:p>
        </w:tc>
      </w:tr>
      <w:tr>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Übergang und Schutz</w:t>
            </w:r>
          </w:p>
        </w:tc>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Keine harte Einführung ohne Piloten, Rechtsmittel, Sozialausgleich und KMU-Schutz.</w:t>
            </w:r>
          </w:p>
        </w:tc>
      </w:tr>
      <w:tr>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Evaluation und Korrektur</w:t>
            </w:r>
          </w:p>
        </w:tc>
        <w:tc>
          <w:tcPr>
            <w:tcW w:type="dxa" w:w="4986"/>
            <w:shd w:fill="FAF8F3"/>
            <w:tcBorders>
              <w:top w:val="single" w:sz="6" w:color="D9D3C7"/>
              <w:left w:val="single" w:sz="6" w:color="D9D3C7"/>
              <w:bottom w:val="single" w:sz="6" w:color="D9D3C7"/>
              <w:right w:val="single" w:sz="6" w:color="D9D3C7"/>
            </w:tcBorders>
          </w:tcPr>
          <w:p>
            <w:r>
              <w:rPr>
                <w:rFonts w:ascii="Source Sans 3" w:hAnsi="Source Sans 3"/>
                <w:color w:val="2A2A2C"/>
                <w:sz w:val="16"/>
              </w:rPr>
              <w:t>Regelmäßige Prüfung von Nebenwirkungen, Fehlbewertungen und Diskriminierungsrisiken.</w:t>
            </w:r>
          </w:p>
        </w:tc>
      </w:tr>
      <w:tr>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Schutz vor Technokratie</w:t>
            </w:r>
          </w:p>
        </w:tc>
        <w:tc>
          <w:tcPr>
            <w:tcW w:type="dxa" w:w="4986"/>
            <w:shd w:fill="FFFFFF"/>
            <w:tcBorders>
              <w:top w:val="single" w:sz="6" w:color="D9D3C7"/>
              <w:left w:val="single" w:sz="6" w:color="D9D3C7"/>
              <w:bottom w:val="single" w:sz="6" w:color="D9D3C7"/>
              <w:right w:val="single" w:sz="6" w:color="D9D3C7"/>
            </w:tcBorders>
          </w:tcPr>
          <w:p>
            <w:r>
              <w:rPr>
                <w:rFonts w:ascii="Source Sans 3" w:hAnsi="Source Sans 3"/>
                <w:color w:val="2A2A2C"/>
                <w:sz w:val="16"/>
              </w:rPr>
              <w:t>Messung bleibt Hilfsmittel. Normative Entscheidungen bleiben demokratisch legitimiert.</w:t>
            </w:r>
          </w:p>
        </w:tc>
      </w:tr>
    </w:tbl>
    <w:p/>
    <w:p>
      <w:pPr>
        <w:pStyle w:val="Heading1"/>
      </w:pPr>
      <w:r>
        <w:t>Website- und Portalintegration</w:t>
      </w:r>
    </w:p>
    <w:p>
      <w:pPr>
        <w:ind w:left="283" w:hanging="142"/>
      </w:pPr>
      <w:r>
        <w:rPr>
          <w:rFonts w:ascii="Source Sans 3" w:hAnsi="Source Sans 3"/>
          <w:color w:val="2A2A2C"/>
          <w:sz w:val="20"/>
        </w:rPr>
        <w:t>• URL-Vorschlag: /wirkungsfelder/staat-recht-demokratie/grundrechte-technokratieschutz/</w:t>
      </w:r>
    </w:p>
    <w:p>
      <w:pPr>
        <w:ind w:left="283" w:hanging="142"/>
      </w:pPr>
      <w:r>
        <w:rPr>
          <w:rFonts w:ascii="Source Sans 3" w:hAnsi="Source Sans 3"/>
          <w:color w:val="2A2A2C"/>
          <w:sz w:val="20"/>
        </w:rPr>
        <w:t>• Als Pflichtanker unter allen sensiblen Tools verlinken: WÖk-IDs, Scorecards, Wirkungssteuer, Medienwirkungscheck, KI-Checks.</w:t>
      </w:r>
    </w:p>
    <w:p>
      <w:pPr>
        <w:ind w:left="283" w:hanging="142"/>
      </w:pPr>
      <w:r>
        <w:rPr>
          <w:rFonts w:ascii="Source Sans 3" w:hAnsi="Source Sans 3"/>
          <w:color w:val="2A2A2C"/>
          <w:sz w:val="20"/>
        </w:rPr>
        <w:t>• Darstellung als Schutzseite: Warum WÖk kein Social Credit ist, warum keine Personenbewertung erfolgt, wie Rechtsschutz funktioniert.</w:t>
      </w:r>
    </w:p>
    <w:p>
      <w:pPr>
        <w:ind w:left="283" w:hanging="142"/>
      </w:pPr>
      <w:r>
        <w:rPr>
          <w:rFonts w:ascii="Source Sans 3" w:hAnsi="Source Sans 3"/>
          <w:color w:val="2A2A2C"/>
          <w:sz w:val="20"/>
        </w:rPr>
        <w:t>• Toolkarten: Technokratieschutz-Check, Datenqualitäts-Audit, Rechtsfolgen-Check, Verhältnismäßigkeitsmatrix.</w:t>
      </w:r>
    </w:p>
    <w:p>
      <w:pPr>
        <w:pStyle w:val="Heading1"/>
      </w:pPr>
      <w:r>
        <w:t>Quellen und Anschlussdokumente</w:t>
      </w:r>
    </w:p>
    <w:p>
      <w:pPr>
        <w:ind w:left="283" w:hanging="142"/>
      </w:pPr>
      <w:r>
        <w:rPr>
          <w:rFonts w:ascii="Source Sans 3" w:hAnsi="Source Sans 3"/>
          <w:color w:val="2A2A2C"/>
          <w:sz w:val="20"/>
        </w:rPr>
        <w:t>• Natalie Weber: Die neue Ordnung des Wohlstands, insbesondere Teile VI, X, XII, XIII, XIV und XVII.</w:t>
      </w:r>
    </w:p>
    <w:p>
      <w:pPr>
        <w:ind w:left="283" w:hanging="142"/>
      </w:pPr>
      <w:r>
        <w:rPr>
          <w:rFonts w:ascii="Source Sans 3" w:hAnsi="Source Sans 3"/>
          <w:color w:val="2A2A2C"/>
          <w:sz w:val="20"/>
        </w:rPr>
        <w:t>• Natalie Weber: Working-Paper Wirkungssteuergesetz (WStG), Oktober 2025.</w:t>
      </w:r>
    </w:p>
    <w:p>
      <w:pPr>
        <w:ind w:left="283" w:hanging="142"/>
      </w:pPr>
      <w:r>
        <w:rPr>
          <w:rFonts w:ascii="Source Sans 3" w:hAnsi="Source Sans 3"/>
          <w:color w:val="2A2A2C"/>
          <w:sz w:val="20"/>
        </w:rPr>
        <w:t>• Natalie Weber: Der Wirkungsrat - Institutionelle Verankerung der Wirkungsökonomie, September 2025.</w:t>
      </w:r>
    </w:p>
    <w:p>
      <w:pPr>
        <w:ind w:left="283" w:hanging="142"/>
      </w:pPr>
      <w:r>
        <w:rPr>
          <w:rFonts w:ascii="Source Sans 3" w:hAnsi="Source Sans 3"/>
          <w:color w:val="2A2A2C"/>
          <w:sz w:val="20"/>
        </w:rPr>
        <w:t>• Natalie Weber: Systemmodell der Wirkungsökonomie, insbesondere Staat &amp; Recht, Medien &amp; Öffentlichkeit, Finanzsystem &amp; Kapital und Wissen/Digitalisierung.</w:t>
      </w:r>
    </w:p>
    <w:p>
      <w:pPr>
        <w:ind w:left="283" w:hanging="142"/>
      </w:pPr>
      <w:r>
        <w:rPr>
          <w:rFonts w:ascii="Source Sans 3" w:hAnsi="Source Sans 3"/>
          <w:color w:val="2A2A2C"/>
          <w:sz w:val="20"/>
        </w:rPr>
        <w:t>• Führender Begriffsleitfaden der Wirkungsökonomie, v1.0, Stand 21. Mai 2026.</w:t>
      </w:r>
    </w:p>
    <w:p>
      <w:pPr>
        <w:ind w:left="283" w:hanging="142"/>
      </w:pPr>
      <w:r>
        <w:rPr>
          <w:rFonts w:ascii="Source Sans 3" w:hAnsi="Source Sans 3"/>
          <w:color w:val="2A2A2C"/>
          <w:sz w:val="20"/>
        </w:rPr>
        <w:t>• Grundgesetz für die Bundesrepublik Deutschland: Menschenwürde, Demokratie, Rechtsstaat, Sozialstaat, Bundesstaat, Rechtsschutz und Art. 20a.</w:t>
      </w:r>
    </w:p>
    <w:p>
      <w:pPr>
        <w:ind w:left="283" w:hanging="142"/>
      </w:pPr>
      <w:r>
        <w:rPr>
          <w:rFonts w:ascii="Source Sans 3" w:hAnsi="Source Sans 3"/>
          <w:color w:val="2A2A2C"/>
          <w:sz w:val="20"/>
        </w:rPr>
        <w:t>• Bundesregierung: Deutsche Nachhaltigkeitsstrategie 2025 und Agenda-2030-Bezug.</w:t>
      </w:r>
    </w:p>
    <w:p>
      <w:pPr>
        <w:ind w:left="283" w:hanging="142"/>
      </w:pPr>
      <w:r>
        <w:rPr>
          <w:rFonts w:ascii="Source Sans 3" w:hAnsi="Source Sans 3"/>
          <w:color w:val="2A2A2C"/>
          <w:sz w:val="20"/>
        </w:rPr>
        <w:t>• UN Agenda 2030 und SDGs; SDG+ als transparente Erweiterung der Wirkungsökonomie.</w:t>
      </w:r>
    </w:p>
    <w:p>
      <w:pPr>
        <w:pStyle w:val="Heading1"/>
      </w:pPr>
      <w:r>
        <w:t>Fazit</w:t>
      </w:r>
    </w:p>
    <w:p>
      <w:r>
        <w:t>Die Wirkungsökonomie wird nur dann legitim, wenn sie ihre eigenen Machtwirkungen begrenzt. Grundrechte, Verhältnismäßigkeit, Rechtsschutz und Technokratieschutz sind keine Anhänge, sondern Kernbedingungen. Wirkung soll Freiheit nicht ersetzen. Sie soll Freiheit vor falschen Signalen, verdeckten Schäden und manipulativen Strukturen schützen.</w:t>
      </w:r>
    </w:p>
    <w:sectPr w:rsidR="00FC693F" w:rsidRPr="0006063C" w:rsidSect="00034616">
      <w:headerReference w:type="default" r:id="rId9"/>
      <w:footerReference w:type="default" r:id="rId10"/>
      <w:pgSz w:w="12240" w:h="15840"/>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olor w:val="5F5F5F"/>
        <w:sz w:val="16"/>
      </w:rPr>
      <w:t>Wirkungsökonomie - öffentliche Arbeitsfassung - keine Rechts-, Steuer- oder Politikberatung</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Source Sans 3" w:hAnsi="Source Sans 3"/>
        <w:color w:val="277D5C"/>
        <w:sz w:val="17"/>
      </w:rPr>
      <w:t>Wirkungsökonomie · Natalie Weber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9" w:lineRule="auto"/>
    </w:pPr>
    <w:rPr>
      <w:rFonts w:ascii="Source Sans 3" w:hAnsi="Source Sans 3" w:eastAsia="Source Sans 3"/>
      <w:color w:val="2A2A2C"/>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80" w:after="160"/>
      <w:outlineLvl w:val="0"/>
    </w:pPr>
    <w:rPr>
      <w:rFonts w:asciiTheme="majorHAnsi" w:eastAsiaTheme="majorEastAsia" w:hAnsiTheme="majorHAnsi" w:cstheme="majorBidi" w:ascii="Playfair Display" w:hAnsi="Playfair Display" w:eastAsia="Playfair Display"/>
      <w:b/>
      <w:bCs/>
      <w:color w:val="0A1022"/>
      <w:sz w:val="34"/>
      <w:szCs w:val="28"/>
    </w:rPr>
  </w:style>
  <w:style w:type="paragraph" w:styleId="Heading2">
    <w:name w:val="heading 2"/>
    <w:basedOn w:val="Normal"/>
    <w:next w:val="Normal"/>
    <w:link w:val="Heading2Char"/>
    <w:uiPriority w:val="9"/>
    <w:unhideWhenUsed/>
    <w:qFormat/>
    <w:rsid w:val="00FC693F"/>
    <w:pPr>
      <w:keepNext/>
      <w:keepLines/>
      <w:spacing w:before="200" w:after="100"/>
      <w:outlineLvl w:val="1"/>
    </w:pPr>
    <w:rPr>
      <w:rFonts w:asciiTheme="majorHAnsi" w:eastAsiaTheme="majorEastAsia" w:hAnsiTheme="majorHAnsi" w:cstheme="majorBidi" w:ascii="Source Sans 3" w:hAnsi="Source Sans 3" w:eastAsia="Source Sans 3"/>
      <w:b/>
      <w:bCs/>
      <w:color w:val="0A1022"/>
      <w:sz w:val="26"/>
      <w:szCs w:val="26"/>
    </w:rPr>
  </w:style>
  <w:style w:type="paragraph" w:styleId="Heading3">
    <w:name w:val="heading 3"/>
    <w:basedOn w:val="Normal"/>
    <w:next w:val="Normal"/>
    <w:link w:val="Heading3Char"/>
    <w:uiPriority w:val="9"/>
    <w:unhideWhenUsed/>
    <w:qFormat/>
    <w:rsid w:val="00FC693F"/>
    <w:pPr>
      <w:keepNext/>
      <w:keepLines/>
      <w:spacing w:before="140" w:after="60"/>
      <w:outlineLvl w:val="2"/>
    </w:pPr>
    <w:rPr>
      <w:rFonts w:asciiTheme="majorHAnsi" w:eastAsiaTheme="majorEastAsia" w:hAnsiTheme="majorHAnsi" w:cstheme="majorBidi" w:ascii="Source Sans 3" w:hAnsi="Source Sans 3" w:eastAsia="Source Sans 3"/>
      <w:b/>
      <w:bCs/>
      <w:color w:val="0A1022"/>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Playfair Display" w:hAnsi="Playfair Display" w:eastAsia="Playfair Display"/>
      <w:b w:val="0"/>
      <w:color w:val="0A1022"/>
      <w:spacing w:val="5"/>
      <w:kern w:val="28"/>
      <w:sz w:val="5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line="259" w:lineRule="auto"/>
    </w:pPr>
    <w:rPr>
      <w:rFonts w:ascii="Source Sans 3" w:hAnsi="Source Sans 3" w:eastAsia="Source Sans 3"/>
      <w:color w:val="2A2A2C"/>
      <w:sz w:val="20"/>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