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ptos" w:hAnsi="Aptos"/>
          <w:b/>
          <w:color w:val="2F7D5C"/>
          <w:sz w:val="24"/>
        </w:rPr>
        <w:t>WIRKUNGSÖKONOMIE</w:t>
      </w:r>
    </w:p>
    <w:p>
      <w:pPr>
        <w:pStyle w:val="Heading3"/>
      </w:pPr>
      <w:r>
        <w:t>DETAILKONZEPT</w:t>
      </w:r>
    </w:p>
    <w:p>
      <w:pPr>
        <w:pStyle w:val="Title"/>
      </w:pPr>
      <w:r>
        <w:t>Portfolio-Wirkungsrating, Banken, Versicherungen und Kapitalzugang</w:t>
      </w:r>
    </w:p>
    <w:p>
      <w:r>
        <w:rPr>
          <w:rFonts w:ascii="Georgia" w:hAnsi="Georgia"/>
          <w:color w:val="0B1020"/>
          <w:sz w:val="26"/>
        </w:rPr>
        <w:t>Wirkungskredite, Versicherbarkeit, EBA-/EIOPA-Anschluss und KMU-taugliche Finanzdatenlogik</w:t>
      </w:r>
    </w:p>
    <w:p/>
    <w:tbl>
      <w:tblPr>
        <w:tblStyle w:val="TableGrid"/>
        <w:tblW w:type="auto" w:w="0"/>
        <w:jc w:val="left"/>
        <w:tblLook w:firstColumn="1" w:firstRow="1" w:lastColumn="0" w:lastRow="0" w:noHBand="0" w:noVBand="1" w:val="04A0"/>
      </w:tblPr>
      <w:tblGrid>
        <w:gridCol w:w="5100"/>
        <w:gridCol w:w="5100"/>
      </w:tblGrid>
      <w:tr>
        <w:tc>
          <w:tcPr>
            <w:tcW w:type="dxa" w:w="5100"/>
            <w:shd w:fill="F6F1E8"/>
          </w:tcPr>
          <w:p>
            <w:r/>
            <w:r>
              <w:rPr>
                <w:rFonts w:ascii="Aptos" w:hAnsi="Aptos"/>
                <w:b/>
                <w:color w:val="0B1020"/>
                <w:sz w:val="16"/>
              </w:rPr>
              <w:t>Autorin</w:t>
            </w:r>
          </w:p>
        </w:tc>
        <w:tc>
          <w:tcPr>
            <w:tcW w:type="dxa" w:w="5100"/>
          </w:tcPr>
          <w:p>
            <w:r/>
            <w:r>
              <w:rPr>
                <w:rFonts w:ascii="Aptos" w:hAnsi="Aptos"/>
                <w:b w:val="0"/>
                <w:color w:val="2A2A2A"/>
                <w:sz w:val="16"/>
              </w:rPr>
              <w:t>Natalie Weber</w:t>
            </w:r>
          </w:p>
        </w:tc>
      </w:tr>
      <w:tr>
        <w:tc>
          <w:tcPr>
            <w:tcW w:type="dxa" w:w="5100"/>
            <w:shd w:fill="F6F1E8"/>
          </w:tcPr>
          <w:p>
            <w:r/>
            <w:r>
              <w:rPr>
                <w:rFonts w:ascii="Aptos" w:hAnsi="Aptos"/>
                <w:b/>
                <w:color w:val="0B1020"/>
                <w:sz w:val="16"/>
              </w:rPr>
              <w:t>Referenz</w:t>
            </w:r>
          </w:p>
        </w:tc>
        <w:tc>
          <w:tcPr>
            <w:tcW w:type="dxa" w:w="5100"/>
          </w:tcPr>
          <w:p>
            <w:r/>
            <w:r>
              <w:rPr>
                <w:rFonts w:ascii="Aptos" w:hAnsi="Aptos"/>
                <w:b w:val="0"/>
                <w:color w:val="2A2A2A"/>
                <w:sz w:val="16"/>
              </w:rPr>
              <w:t>Wirkungsökonomie</w:t>
            </w:r>
          </w:p>
        </w:tc>
      </w:tr>
      <w:tr>
        <w:tc>
          <w:tcPr>
            <w:tcW w:type="dxa" w:w="5100"/>
            <w:shd w:fill="F6F1E8"/>
          </w:tcPr>
          <w:p>
            <w:r/>
            <w:r>
              <w:rPr>
                <w:rFonts w:ascii="Aptos" w:hAnsi="Aptos"/>
                <w:b/>
                <w:color w:val="0B1020"/>
                <w:sz w:val="16"/>
              </w:rPr>
              <w:t>Version</w:t>
            </w:r>
          </w:p>
        </w:tc>
        <w:tc>
          <w:tcPr>
            <w:tcW w:type="dxa" w:w="5100"/>
          </w:tcPr>
          <w:p>
            <w:r/>
            <w:r>
              <w:rPr>
                <w:rFonts w:ascii="Aptos" w:hAnsi="Aptos"/>
                <w:b w:val="0"/>
                <w:color w:val="2A2A2A"/>
                <w:sz w:val="16"/>
              </w:rPr>
              <w:t>v1.0</w:t>
            </w:r>
          </w:p>
        </w:tc>
      </w:tr>
      <w:tr>
        <w:tc>
          <w:tcPr>
            <w:tcW w:type="dxa" w:w="5100"/>
            <w:shd w:fill="F6F1E8"/>
          </w:tcPr>
          <w:p>
            <w:r/>
            <w:r>
              <w:rPr>
                <w:rFonts w:ascii="Aptos" w:hAnsi="Aptos"/>
                <w:b/>
                <w:color w:val="0B1020"/>
                <w:sz w:val="16"/>
              </w:rPr>
              <w:t>Status</w:t>
            </w:r>
          </w:p>
        </w:tc>
        <w:tc>
          <w:tcPr>
            <w:tcW w:type="dxa" w:w="5100"/>
          </w:tcPr>
          <w:p>
            <w:r/>
            <w:r>
              <w:rPr>
                <w:rFonts w:ascii="Aptos" w:hAnsi="Aptos"/>
                <w:b w:val="0"/>
                <w:color w:val="2A2A2A"/>
                <w:sz w:val="16"/>
              </w:rPr>
              <w:t>öffentliche Ausarbeitung</w:t>
            </w:r>
          </w:p>
        </w:tc>
      </w:tr>
      <w:tr>
        <w:tc>
          <w:tcPr>
            <w:tcW w:type="dxa" w:w="5100"/>
            <w:shd w:fill="F6F1E8"/>
          </w:tcPr>
          <w:p>
            <w:r/>
            <w:r>
              <w:rPr>
                <w:rFonts w:ascii="Aptos" w:hAnsi="Aptos"/>
                <w:b/>
                <w:color w:val="0B1020"/>
                <w:sz w:val="16"/>
              </w:rPr>
              <w:t>Stand</w:t>
            </w:r>
          </w:p>
        </w:tc>
        <w:tc>
          <w:tcPr>
            <w:tcW w:type="dxa" w:w="5100"/>
          </w:tcPr>
          <w:p>
            <w:r/>
            <w:r>
              <w:rPr>
                <w:rFonts w:ascii="Aptos" w:hAnsi="Aptos"/>
                <w:b w:val="0"/>
                <w:color w:val="2A2A2A"/>
                <w:sz w:val="16"/>
              </w:rPr>
              <w:t>24. Mai 2026</w:t>
            </w:r>
          </w:p>
        </w:tc>
      </w:tr>
      <w:tr>
        <w:tc>
          <w:tcPr>
            <w:tcW w:type="dxa" w:w="5100"/>
            <w:shd w:fill="F6F1E8"/>
          </w:tcPr>
          <w:p>
            <w:r/>
            <w:r>
              <w:rPr>
                <w:rFonts w:ascii="Aptos" w:hAnsi="Aptos"/>
                <w:b/>
                <w:color w:val="0B1020"/>
                <w:sz w:val="16"/>
              </w:rPr>
              <w:t>Dokumenttyp</w:t>
            </w:r>
          </w:p>
        </w:tc>
        <w:tc>
          <w:tcPr>
            <w:tcW w:type="dxa" w:w="5100"/>
          </w:tcPr>
          <w:p>
            <w:r/>
            <w:r>
              <w:rPr>
                <w:rFonts w:ascii="Aptos" w:hAnsi="Aptos"/>
                <w:b w:val="0"/>
                <w:color w:val="2A2A2A"/>
                <w:sz w:val="16"/>
              </w:rPr>
              <w:t>Detailkonzept</w:t>
            </w:r>
          </w:p>
        </w:tc>
      </w:tr>
      <w:tr>
        <w:tc>
          <w:tcPr>
            <w:tcW w:type="dxa" w:w="5100"/>
            <w:shd w:fill="F6F1E8"/>
          </w:tcPr>
          <w:p>
            <w:r/>
            <w:r>
              <w:rPr>
                <w:rFonts w:ascii="Aptos" w:hAnsi="Aptos"/>
                <w:b/>
                <w:color w:val="0B1020"/>
                <w:sz w:val="16"/>
              </w:rPr>
              <w:t>Hinweis</w:t>
            </w:r>
          </w:p>
        </w:tc>
        <w:tc>
          <w:tcPr>
            <w:tcW w:type="dxa" w:w="5100"/>
          </w:tcPr>
          <w:p>
            <w:r/>
            <w:r>
              <w:rPr>
                <w:rFonts w:ascii="Aptos" w:hAnsi="Aptos"/>
                <w:b w:val="0"/>
                <w:color w:val="2A2A2A"/>
                <w:sz w:val="16"/>
              </w:rPr>
              <w:t>Konzeptionelle Arbeitsfassung; keine Rechts-, Steuer-, Anlage-, Kredit- oder Finanzberatung.</w:t>
            </w:r>
          </w:p>
        </w:tc>
      </w:tr>
    </w:tbl>
    <w:p/>
    <w:p>
      <w:pPr>
        <w:pStyle w:val="Heading1"/>
      </w:pPr>
      <w:r>
        <w:t>Executive Summary</w:t>
      </w:r>
    </w:p>
    <w:tbl>
      <w:tblPr>
        <w:tblStyle w:val="TableGrid"/>
        <w:tblW w:type="auto" w:w="0"/>
        <w:jc w:val="center"/>
        <w:tblLook w:firstColumn="1" w:firstRow="1" w:lastColumn="0" w:lastRow="0" w:noHBand="0" w:noVBand="1" w:val="04A0"/>
      </w:tblPr>
      <w:tblGrid>
        <w:gridCol w:w="10200"/>
      </w:tblGrid>
      <w:tr>
        <w:tc>
          <w:tcPr>
            <w:tcW w:type="dxa" w:w="10200"/>
            <w:shd w:fill="FBF8F1"/>
          </w:tcPr>
          <w:p>
            <w:r>
              <w:rPr>
                <w:rFonts w:ascii="Aptos" w:hAnsi="Aptos"/>
                <w:b/>
                <w:color w:val="2F7D5C"/>
                <w:sz w:val="18"/>
              </w:rPr>
              <w:t>LEITSATZ</w:t>
            </w:r>
          </w:p>
          <w:p>
            <w:r>
              <w:rPr>
                <w:rFonts w:ascii="Aptos" w:hAnsi="Aptos"/>
                <w:color w:val="2A2A2A"/>
                <w:sz w:val="21"/>
              </w:rPr>
              <w:t>Banken und Versicherungen werden in der Wirkungsökonomie nicht nur als Finanzintermediäre gelesen, sondern als Realitätsprüfer: Sie entscheiden, welche Risiken finanziert, versichert, verteuert oder verhindert werden.</w:t>
            </w:r>
          </w:p>
        </w:tc>
      </w:tr>
    </w:tbl>
    <w:p>
      <w:pPr>
        <w:spacing w:after="120" w:line="264" w:lineRule="auto"/>
      </w:pPr>
      <w:r>
        <w:t>Dieses Detailkonzept verbindet Portfolio-Wirkungsrating, Banken, Wirkungskredite, Versicherbarkeit und Kapitalzugang. Es zeigt, wie heutige ESG-Risikoanforderungen, CSRD/ESRS, EU-Taxonomie, EBA-Leitlinien und Versicherungsaufsicht in eine wirkungsökonomische Kapitalzugangslogik übersetzt werden können.</w:t>
      </w:r>
    </w:p>
    <w:p>
      <w:pPr>
        <w:spacing w:after="120" w:line="264" w:lineRule="auto"/>
      </w:pPr>
      <w:r>
        <w:t>Die zentrale These lautet: Kapitalzugang ist selbst ein Wirkungshebel. Wenn Banken und Versicherungen negative Wirkung nicht erkennen, finanzieren und versichern sie die Reparaturmaschine. Wenn sie Wirkung sichtbar machen, können sie Prävention, Transformation, Resilienz und Innovation stärken.</w:t>
      </w:r>
    </w:p>
    <w:p>
      <w:pPr>
        <w:spacing w:after="120" w:line="264" w:lineRule="auto"/>
      </w:pPr>
      <w:r>
        <w:t>Das Konzept ist keine Kredit-, Anlage- oder Versicherungsberatung. Es ist eine systemische Ausarbeitung, wie die WÖk Kapitalmarktanforderungen einordnet und in eine demokratisch kontrollierte Wirkungsarchitektur einbettet.</w:t>
      </w:r>
    </w:p>
    <w:p>
      <w:pPr>
        <w:pStyle w:val="Heading1"/>
      </w:pPr>
      <w:r>
        <w:t>Ausgangsdiagnose: ESG-Risiken werden realwirtschaftlich</w:t>
      </w:r>
    </w:p>
    <w:p>
      <w:pPr>
        <w:spacing w:after="120" w:line="264" w:lineRule="auto"/>
      </w:pPr>
      <w:r>
        <w:t>Finanzmarktanforderungen sind längst nicht mehr nur ein Thema börsennotierter Konzerne. Banken fragen ESG-Daten bei Kreditnehmern ab. Versicherungen prüfen Klimarisiken, Naturrisiken und Schutzlücken. Investoren verlangen Transition Plans, Taxonomie-Daten oder Scope-3-Informationen. Auch kleinere Unternehmen sind indirekt betroffen, wenn ihre Kunden, Banken oder Versicherer Daten benötigen.</w:t>
      </w:r>
    </w:p>
    <w:p>
      <w:pPr>
        <w:spacing w:after="120" w:line="264" w:lineRule="auto"/>
      </w:pPr>
      <w:r>
        <w:t>Der entscheidende Punkt: Diese Anforderungen sind keine grüne Ideologie, sondern Risikomanagement. Klimaschäden, Lieferkettenstörungen, Energiepreise, Wasserknappheit, Fachkräftemangel, Reputationsrisiken, Rechtsrisiken und Versicherbarkeit wirken auf Bilanzen, Sicherheiten, Kreditkosten und Geschäftsmodelle. Die WÖk ordnet diese Entwicklung als Vorstufe einer umfassenderen Wirkungsfinanzierung ein.</w:t>
      </w:r>
    </w:p>
    <w:p>
      <w:pPr>
        <w:pStyle w:val="Heading1"/>
      </w:pPr>
      <w:r>
        <w:t>Portfolio-Wirkungsrating</w:t>
      </w:r>
    </w:p>
    <w:p>
      <w:pPr>
        <w:spacing w:after="120" w:line="264" w:lineRule="auto"/>
      </w:pPr>
      <w:r>
        <w:t>Das Portfolio-Wirkungsrating bewertet nicht nur einzelne Unternehmen, sondern die Wirkung eines Kapitalbündels: Fonds, Bankbuch, Kreditportfolio, Versicherungsanlage, Pensionsvermögen, öffentliche Beteiligung oder Bürger:innenfonds. Es unterscheidet zwischen finanzieller Exposition, Wirkungsrisiko, Datenqualität und Transformationspfad.</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701"/>
            <w:shd w:fill="0B1020"/>
            <w:vAlign w:val="center"/>
          </w:tcPr>
          <w:p>
            <w:r/>
            <w:r>
              <w:rPr>
                <w:rFonts w:ascii="Aptos" w:hAnsi="Aptos"/>
                <w:b/>
                <w:color w:val="FFFFFF"/>
                <w:sz w:val="16"/>
              </w:rPr>
              <w:t>Dimension</w:t>
            </w:r>
          </w:p>
        </w:tc>
        <w:tc>
          <w:tcPr>
            <w:tcW w:type="dxa" w:w="2835"/>
            <w:shd w:fill="0B1020"/>
            <w:vAlign w:val="center"/>
          </w:tcPr>
          <w:p>
            <w:r/>
            <w:r>
              <w:rPr>
                <w:rFonts w:ascii="Aptos" w:hAnsi="Aptos"/>
                <w:b/>
                <w:color w:val="FFFFFF"/>
                <w:sz w:val="16"/>
              </w:rPr>
              <w:t>Leitfrage</w:t>
            </w:r>
          </w:p>
        </w:tc>
        <w:tc>
          <w:tcPr>
            <w:tcW w:type="dxa" w:w="3402"/>
            <w:shd w:fill="0B1020"/>
            <w:vAlign w:val="center"/>
          </w:tcPr>
          <w:p>
            <w:r/>
            <w:r>
              <w:rPr>
                <w:rFonts w:ascii="Aptos" w:hAnsi="Aptos"/>
                <w:b/>
                <w:color w:val="FFFFFF"/>
                <w:sz w:val="16"/>
              </w:rPr>
              <w:t>Beispielindikatoren</w:t>
            </w:r>
          </w:p>
        </w:tc>
      </w:tr>
      <w:tr>
        <w:tc>
          <w:tcPr>
            <w:tcW w:type="dxa" w:w="1701"/>
            <w:vAlign w:val="top"/>
          </w:tcPr>
          <w:p>
            <w:r/>
            <w:r>
              <w:rPr>
                <w:rFonts w:ascii="Aptos" w:hAnsi="Aptos"/>
                <w:b w:val="0"/>
                <w:color w:val="2A2A2A"/>
                <w:sz w:val="16"/>
              </w:rPr>
              <w:t>Planet</w:t>
            </w:r>
          </w:p>
        </w:tc>
        <w:tc>
          <w:tcPr>
            <w:tcW w:type="dxa" w:w="2835"/>
            <w:vAlign w:val="top"/>
          </w:tcPr>
          <w:p>
            <w:r/>
            <w:r>
              <w:rPr>
                <w:rFonts w:ascii="Aptos" w:hAnsi="Aptos"/>
                <w:b w:val="0"/>
                <w:color w:val="2A2A2A"/>
                <w:sz w:val="16"/>
              </w:rPr>
              <w:t>Welche ökologischen Risiken und Wirkungen stecken im Portfolio?</w:t>
            </w:r>
          </w:p>
        </w:tc>
        <w:tc>
          <w:tcPr>
            <w:tcW w:type="dxa" w:w="3402"/>
            <w:vAlign w:val="top"/>
          </w:tcPr>
          <w:p>
            <w:r/>
            <w:r>
              <w:rPr>
                <w:rFonts w:ascii="Aptos" w:hAnsi="Aptos"/>
                <w:b w:val="0"/>
                <w:color w:val="2A2A2A"/>
                <w:sz w:val="16"/>
              </w:rPr>
              <w:t>THG-Intensität, Wasserstress, Biodiversität, fossile Exposition, Kreislaufanteil</w:t>
            </w:r>
          </w:p>
        </w:tc>
      </w:tr>
      <w:tr>
        <w:tc>
          <w:tcPr>
            <w:tcW w:type="dxa" w:w="1701"/>
            <w:vAlign w:val="top"/>
          </w:tcPr>
          <w:p>
            <w:r/>
            <w:r>
              <w:rPr>
                <w:rFonts w:ascii="Aptos" w:hAnsi="Aptos"/>
                <w:b w:val="0"/>
                <w:color w:val="2A2A2A"/>
                <w:sz w:val="16"/>
              </w:rPr>
              <w:t>Mensch</w:t>
            </w:r>
          </w:p>
        </w:tc>
        <w:tc>
          <w:tcPr>
            <w:tcW w:type="dxa" w:w="2835"/>
            <w:vAlign w:val="top"/>
          </w:tcPr>
          <w:p>
            <w:r/>
            <w:r>
              <w:rPr>
                <w:rFonts w:ascii="Aptos" w:hAnsi="Aptos"/>
                <w:b w:val="0"/>
                <w:color w:val="2A2A2A"/>
                <w:sz w:val="16"/>
              </w:rPr>
              <w:t>Welche sozialen Wirkungen entstehen?</w:t>
            </w:r>
          </w:p>
        </w:tc>
        <w:tc>
          <w:tcPr>
            <w:tcW w:type="dxa" w:w="3402"/>
            <w:vAlign w:val="top"/>
          </w:tcPr>
          <w:p>
            <w:r/>
            <w:r>
              <w:rPr>
                <w:rFonts w:ascii="Aptos" w:hAnsi="Aptos"/>
                <w:b w:val="0"/>
                <w:color w:val="2A2A2A"/>
                <w:sz w:val="16"/>
              </w:rPr>
              <w:t>Living Wage, Arbeitsschutz, Bezahlbarkeit, Zugang, Gesundheit, Diskriminierung</w:t>
            </w:r>
          </w:p>
        </w:tc>
      </w:tr>
      <w:tr>
        <w:tc>
          <w:tcPr>
            <w:tcW w:type="dxa" w:w="1701"/>
            <w:vAlign w:val="top"/>
          </w:tcPr>
          <w:p>
            <w:r/>
            <w:r>
              <w:rPr>
                <w:rFonts w:ascii="Aptos" w:hAnsi="Aptos"/>
                <w:b w:val="0"/>
                <w:color w:val="2A2A2A"/>
                <w:sz w:val="16"/>
              </w:rPr>
              <w:t>Demokratie</w:t>
            </w:r>
          </w:p>
        </w:tc>
        <w:tc>
          <w:tcPr>
            <w:tcW w:type="dxa" w:w="2835"/>
            <w:vAlign w:val="top"/>
          </w:tcPr>
          <w:p>
            <w:r/>
            <w:r>
              <w:rPr>
                <w:rFonts w:ascii="Aptos" w:hAnsi="Aptos"/>
                <w:b w:val="0"/>
                <w:color w:val="2A2A2A"/>
                <w:sz w:val="16"/>
              </w:rPr>
              <w:t>Welche institutionellen Risiken bestehen?</w:t>
            </w:r>
          </w:p>
        </w:tc>
        <w:tc>
          <w:tcPr>
            <w:tcW w:type="dxa" w:w="3402"/>
            <w:vAlign w:val="top"/>
          </w:tcPr>
          <w:p>
            <w:r/>
            <w:r>
              <w:rPr>
                <w:rFonts w:ascii="Aptos" w:hAnsi="Aptos"/>
                <w:b w:val="0"/>
                <w:color w:val="2A2A2A"/>
                <w:sz w:val="16"/>
              </w:rPr>
              <w:t>Korruption, Medienmacht, Desinformation, Rechtsstaatlichkeit, Transparenz</w:t>
            </w:r>
          </w:p>
        </w:tc>
      </w:tr>
      <w:tr>
        <w:tc>
          <w:tcPr>
            <w:tcW w:type="dxa" w:w="1701"/>
            <w:vAlign w:val="top"/>
          </w:tcPr>
          <w:p>
            <w:r/>
            <w:r>
              <w:rPr>
                <w:rFonts w:ascii="Aptos" w:hAnsi="Aptos"/>
                <w:b w:val="0"/>
                <w:color w:val="2A2A2A"/>
                <w:sz w:val="16"/>
              </w:rPr>
              <w:t>Resilienz</w:t>
            </w:r>
          </w:p>
        </w:tc>
        <w:tc>
          <w:tcPr>
            <w:tcW w:type="dxa" w:w="2835"/>
            <w:vAlign w:val="top"/>
          </w:tcPr>
          <w:p>
            <w:r/>
            <w:r>
              <w:rPr>
                <w:rFonts w:ascii="Aptos" w:hAnsi="Aptos"/>
                <w:b w:val="0"/>
                <w:color w:val="2A2A2A"/>
                <w:sz w:val="16"/>
              </w:rPr>
              <w:t>Wie robust ist das Portfolio gegenüber physischen und transitorischen Risiken?</w:t>
            </w:r>
          </w:p>
        </w:tc>
        <w:tc>
          <w:tcPr>
            <w:tcW w:type="dxa" w:w="3402"/>
            <w:vAlign w:val="top"/>
          </w:tcPr>
          <w:p>
            <w:r/>
            <w:r>
              <w:rPr>
                <w:rFonts w:ascii="Aptos" w:hAnsi="Aptos"/>
                <w:b w:val="0"/>
                <w:color w:val="2A2A2A"/>
                <w:sz w:val="16"/>
              </w:rPr>
              <w:t>Stranded assets, Versicherungslücken, Lieferketten, regulatorischer Pfad</w:t>
            </w:r>
          </w:p>
        </w:tc>
      </w:tr>
      <w:tr>
        <w:tc>
          <w:tcPr>
            <w:tcW w:type="dxa" w:w="1701"/>
            <w:vAlign w:val="top"/>
          </w:tcPr>
          <w:p>
            <w:r/>
            <w:r>
              <w:rPr>
                <w:rFonts w:ascii="Aptos" w:hAnsi="Aptos"/>
                <w:b w:val="0"/>
                <w:color w:val="2A2A2A"/>
                <w:sz w:val="16"/>
              </w:rPr>
              <w:t>Transformation</w:t>
            </w:r>
          </w:p>
        </w:tc>
        <w:tc>
          <w:tcPr>
            <w:tcW w:type="dxa" w:w="2835"/>
            <w:vAlign w:val="top"/>
          </w:tcPr>
          <w:p>
            <w:r/>
            <w:r>
              <w:rPr>
                <w:rFonts w:ascii="Aptos" w:hAnsi="Aptos"/>
                <w:b w:val="0"/>
                <w:color w:val="2A2A2A"/>
                <w:sz w:val="16"/>
              </w:rPr>
              <w:t>Verändert Kapital reale Pfade?</w:t>
            </w:r>
          </w:p>
        </w:tc>
        <w:tc>
          <w:tcPr>
            <w:tcW w:type="dxa" w:w="3402"/>
            <w:vAlign w:val="top"/>
          </w:tcPr>
          <w:p>
            <w:r/>
            <w:r>
              <w:rPr>
                <w:rFonts w:ascii="Aptos" w:hAnsi="Aptos"/>
                <w:b w:val="0"/>
                <w:color w:val="2A2A2A"/>
                <w:sz w:val="16"/>
              </w:rPr>
              <w:t>CapEx-Plan, Innovation, Standardsetzung, T-SROI, Skalierung</w:t>
            </w:r>
          </w:p>
        </w:tc>
      </w:tr>
    </w:tbl>
    <w:p>
      <w:pPr>
        <w:pStyle w:val="Heading1"/>
      </w:pPr>
      <w:r>
        <w:t>Banken und Wirkungskredite</w:t>
      </w:r>
    </w:p>
    <w:p>
      <w:pPr>
        <w:spacing w:after="120" w:line="264" w:lineRule="auto"/>
      </w:pPr>
      <w:r>
        <w:t>Banken haben eine besondere Rolle, weil Kredite nicht nur Kapital bereitstellen, sondern Geschäftsmodelle ermöglichen. Ein Wirkungskredit koppelt Konditionen nicht an symbolische Nachhaltigkeitsversprechen, sondern an geprüfte Wirkungspfade und Datenqualität. Das kann Zinsmargen, Tilgungszuschüsse, Covenants, Transformationsmeilensteine und Berichtspflichten betreffen.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701"/>
            <w:shd w:fill="0B1020"/>
            <w:vAlign w:val="center"/>
          </w:tcPr>
          <w:p>
            <w:r/>
            <w:r>
              <w:rPr>
                <w:rFonts w:ascii="Aptos" w:hAnsi="Aptos"/>
                <w:b/>
                <w:color w:val="FFFFFF"/>
                <w:sz w:val="16"/>
              </w:rPr>
              <w:t>Kreditlogik</w:t>
            </w:r>
          </w:p>
        </w:tc>
        <w:tc>
          <w:tcPr>
            <w:tcW w:type="dxa" w:w="2835"/>
            <w:shd w:fill="0B1020"/>
            <w:vAlign w:val="center"/>
          </w:tcPr>
          <w:p>
            <w:r/>
            <w:r>
              <w:rPr>
                <w:rFonts w:ascii="Aptos" w:hAnsi="Aptos"/>
                <w:b/>
                <w:color w:val="FFFFFF"/>
                <w:sz w:val="16"/>
              </w:rPr>
              <w:t>Alte Finanzlogik</w:t>
            </w:r>
          </w:p>
        </w:tc>
        <w:tc>
          <w:tcPr>
            <w:tcW w:type="dxa" w:w="3402"/>
            <w:shd w:fill="0B1020"/>
            <w:vAlign w:val="center"/>
          </w:tcPr>
          <w:p>
            <w:r/>
            <w:r>
              <w:rPr>
                <w:rFonts w:ascii="Aptos" w:hAnsi="Aptos"/>
                <w:b/>
                <w:color w:val="FFFFFF"/>
                <w:sz w:val="16"/>
              </w:rPr>
              <w:t>Wirkungsökonomische Ergänzung</w:t>
            </w:r>
          </w:p>
        </w:tc>
      </w:tr>
      <w:tr>
        <w:tc>
          <w:tcPr>
            <w:tcW w:type="dxa" w:w="1701"/>
            <w:vAlign w:val="top"/>
          </w:tcPr>
          <w:p>
            <w:r/>
            <w:r>
              <w:rPr>
                <w:rFonts w:ascii="Aptos" w:hAnsi="Aptos"/>
                <w:b w:val="0"/>
                <w:color w:val="2A2A2A"/>
                <w:sz w:val="16"/>
              </w:rPr>
              <w:t>Bonität</w:t>
            </w:r>
          </w:p>
        </w:tc>
        <w:tc>
          <w:tcPr>
            <w:tcW w:type="dxa" w:w="2835"/>
            <w:vAlign w:val="top"/>
          </w:tcPr>
          <w:p>
            <w:r/>
            <w:r>
              <w:rPr>
                <w:rFonts w:ascii="Aptos" w:hAnsi="Aptos"/>
                <w:b w:val="0"/>
                <w:color w:val="2A2A2A"/>
                <w:sz w:val="16"/>
              </w:rPr>
              <w:t>Zahlungsfähigkeit, Sicherheiten, Cashflow</w:t>
            </w:r>
          </w:p>
        </w:tc>
        <w:tc>
          <w:tcPr>
            <w:tcW w:type="dxa" w:w="3402"/>
            <w:vAlign w:val="top"/>
          </w:tcPr>
          <w:p>
            <w:r/>
            <w:r>
              <w:rPr>
                <w:rFonts w:ascii="Aptos" w:hAnsi="Aptos"/>
                <w:b w:val="0"/>
                <w:color w:val="2A2A2A"/>
                <w:sz w:val="16"/>
              </w:rPr>
              <w:t>zusätzlich Wirkungsrisiko, Transformationspfad, Datenqualität</w:t>
            </w:r>
          </w:p>
        </w:tc>
      </w:tr>
      <w:tr>
        <w:tc>
          <w:tcPr>
            <w:tcW w:type="dxa" w:w="1701"/>
            <w:vAlign w:val="top"/>
          </w:tcPr>
          <w:p>
            <w:r/>
            <w:r>
              <w:rPr>
                <w:rFonts w:ascii="Aptos" w:hAnsi="Aptos"/>
                <w:b w:val="0"/>
                <w:color w:val="2A2A2A"/>
                <w:sz w:val="16"/>
              </w:rPr>
              <w:t>Zins</w:t>
            </w:r>
          </w:p>
        </w:tc>
        <w:tc>
          <w:tcPr>
            <w:tcW w:type="dxa" w:w="2835"/>
            <w:vAlign w:val="top"/>
          </w:tcPr>
          <w:p>
            <w:r/>
            <w:r>
              <w:rPr>
                <w:rFonts w:ascii="Aptos" w:hAnsi="Aptos"/>
                <w:b w:val="0"/>
                <w:color w:val="2A2A2A"/>
                <w:sz w:val="16"/>
              </w:rPr>
              <w:t>Risikoaufschlag nach Ausfallwahrscheinlichkeit</w:t>
            </w:r>
          </w:p>
        </w:tc>
        <w:tc>
          <w:tcPr>
            <w:tcW w:type="dxa" w:w="3402"/>
            <w:vAlign w:val="top"/>
          </w:tcPr>
          <w:p>
            <w:r/>
            <w:r>
              <w:rPr>
                <w:rFonts w:ascii="Aptos" w:hAnsi="Aptos"/>
                <w:b w:val="0"/>
                <w:color w:val="2A2A2A"/>
                <w:sz w:val="16"/>
              </w:rPr>
              <w:t>zusätzlich Wirkungsbonus oder Malus nach positiver Netto-Wirkung</w:t>
            </w:r>
          </w:p>
        </w:tc>
      </w:tr>
      <w:tr>
        <w:tc>
          <w:tcPr>
            <w:tcW w:type="dxa" w:w="1701"/>
            <w:vAlign w:val="top"/>
          </w:tcPr>
          <w:p>
            <w:r/>
            <w:r>
              <w:rPr>
                <w:rFonts w:ascii="Aptos" w:hAnsi="Aptos"/>
                <w:b w:val="0"/>
                <w:color w:val="2A2A2A"/>
                <w:sz w:val="16"/>
              </w:rPr>
              <w:t>Covenants</w:t>
            </w:r>
          </w:p>
        </w:tc>
        <w:tc>
          <w:tcPr>
            <w:tcW w:type="dxa" w:w="2835"/>
            <w:vAlign w:val="top"/>
          </w:tcPr>
          <w:p>
            <w:r/>
            <w:r>
              <w:rPr>
                <w:rFonts w:ascii="Aptos" w:hAnsi="Aptos"/>
                <w:b w:val="0"/>
                <w:color w:val="2A2A2A"/>
                <w:sz w:val="16"/>
              </w:rPr>
              <w:t>Finanzkennzahlen</w:t>
            </w:r>
          </w:p>
        </w:tc>
        <w:tc>
          <w:tcPr>
            <w:tcW w:type="dxa" w:w="3402"/>
            <w:vAlign w:val="top"/>
          </w:tcPr>
          <w:p>
            <w:r/>
            <w:r>
              <w:rPr>
                <w:rFonts w:ascii="Aptos" w:hAnsi="Aptos"/>
                <w:b w:val="0"/>
                <w:color w:val="2A2A2A"/>
                <w:sz w:val="16"/>
              </w:rPr>
              <w:t>Wirkungskennzahlen, rote Linien, CapEx-Pfad</w:t>
            </w:r>
          </w:p>
        </w:tc>
      </w:tr>
      <w:tr>
        <w:tc>
          <w:tcPr>
            <w:tcW w:type="dxa" w:w="1701"/>
            <w:vAlign w:val="top"/>
          </w:tcPr>
          <w:p>
            <w:r/>
            <w:r>
              <w:rPr>
                <w:rFonts w:ascii="Aptos" w:hAnsi="Aptos"/>
                <w:b w:val="0"/>
                <w:color w:val="2A2A2A"/>
                <w:sz w:val="16"/>
              </w:rPr>
              <w:t>Sicherheiten</w:t>
            </w:r>
          </w:p>
        </w:tc>
        <w:tc>
          <w:tcPr>
            <w:tcW w:type="dxa" w:w="2835"/>
            <w:vAlign w:val="top"/>
          </w:tcPr>
          <w:p>
            <w:r/>
            <w:r>
              <w:rPr>
                <w:rFonts w:ascii="Aptos" w:hAnsi="Aptos"/>
                <w:b w:val="0"/>
                <w:color w:val="2A2A2A"/>
                <w:sz w:val="16"/>
              </w:rPr>
              <w:t>Vermögenswerte und Verwertung</w:t>
            </w:r>
          </w:p>
        </w:tc>
        <w:tc>
          <w:tcPr>
            <w:tcW w:type="dxa" w:w="3402"/>
            <w:vAlign w:val="top"/>
          </w:tcPr>
          <w:p>
            <w:r/>
            <w:r>
              <w:rPr>
                <w:rFonts w:ascii="Aptos" w:hAnsi="Aptos"/>
                <w:b w:val="0"/>
                <w:color w:val="2A2A2A"/>
                <w:sz w:val="16"/>
              </w:rPr>
              <w:t>Stranded-Asset-Prüfung, Klimarisiko, Sozial- und Reputationsrisiko</w:t>
            </w:r>
          </w:p>
        </w:tc>
      </w:tr>
      <w:tr>
        <w:tc>
          <w:tcPr>
            <w:tcW w:type="dxa" w:w="1701"/>
            <w:vAlign w:val="top"/>
          </w:tcPr>
          <w:p>
            <w:r/>
            <w:r>
              <w:rPr>
                <w:rFonts w:ascii="Aptos" w:hAnsi="Aptos"/>
                <w:b w:val="0"/>
                <w:color w:val="2A2A2A"/>
                <w:sz w:val="16"/>
              </w:rPr>
              <w:t>KMU</w:t>
            </w:r>
          </w:p>
        </w:tc>
        <w:tc>
          <w:tcPr>
            <w:tcW w:type="dxa" w:w="2835"/>
            <w:vAlign w:val="top"/>
          </w:tcPr>
          <w:p>
            <w:r/>
            <w:r>
              <w:rPr>
                <w:rFonts w:ascii="Aptos" w:hAnsi="Aptos"/>
                <w:b w:val="0"/>
                <w:color w:val="2A2A2A"/>
                <w:sz w:val="16"/>
              </w:rPr>
              <w:t>oft Datenlücke</w:t>
            </w:r>
          </w:p>
        </w:tc>
        <w:tc>
          <w:tcPr>
            <w:tcW w:type="dxa" w:w="3402"/>
            <w:vAlign w:val="top"/>
          </w:tcPr>
          <w:p>
            <w:r/>
            <w:r>
              <w:rPr>
                <w:rFonts w:ascii="Aptos" w:hAnsi="Aptos"/>
                <w:b w:val="0"/>
                <w:color w:val="2A2A2A"/>
                <w:sz w:val="16"/>
              </w:rPr>
              <w:t>VSME, vereinfachte WÖk-Scorecards, Beratungsfenster</w:t>
            </w:r>
          </w:p>
        </w:tc>
      </w:tr>
    </w:tbl>
    <w:p>
      <w:pPr>
        <w:pStyle w:val="Heading1"/>
      </w:pPr>
      <w:r>
        <w:t>EBA-Anschluss und indirekte Unternehmenswirkung</w:t>
      </w:r>
    </w:p>
    <w:p>
      <w:pPr>
        <w:spacing w:after="120" w:line="264" w:lineRule="auto"/>
      </w:pPr>
      <w:r>
        <w:t>Die EBA-Leitlinien zu ESG-Risiken schaffen Anforderungen für Institute zur Identifikation, Messung, Steuerung und Überwachung von ESG-Risiken. Wirkungsökonomisch bedeutet das: Banken werden zunehmend gezwungen, Zukunftsrisiken nicht nur retrospektiv, sondern strategisch zu behandeln. Unternehmen müssen damit rechnen, dass Daten zu Klima, Energie, Lieferketten, Governance und Sozialstandards kreditrelevant werden.</w:t>
      </w:r>
    </w:p>
    <w:p>
      <w:pPr>
        <w:spacing w:after="120" w:line="264" w:lineRule="auto"/>
      </w:pPr>
      <w:r>
        <w:t>Die WÖk erweitert diese Logik. Sie fragt nicht nur, ob ESG-Risiken die Bank treffen, sondern auch, welche Wirkung der Kredit in der Realwirtschaft erzeugt. Dadurch wird aus ESG-Risikomanagement eine Wirkungskreditlogik.</w:t>
      </w:r>
    </w:p>
    <w:p>
      <w:pPr>
        <w:pStyle w:val="Heading1"/>
      </w:pPr>
      <w:r>
        <w:t>Versicherbarkeit als Wirklichkeitsprüfung</w:t>
      </w:r>
    </w:p>
    <w:p>
      <w:pPr>
        <w:spacing w:after="120" w:line="264" w:lineRule="auto"/>
      </w:pPr>
      <w:r>
        <w:t>Versicherungen machen Risiken sichtbar, weil sie Schäden bepreisen oder Ausschlüsse formulieren müssen. Wenn ein Gebäude in einer Hochwasserzone nicht mehr versicherbar ist, wenn Ernteausfälle häufiger werden oder wenn Lieferkettenrisiken Prämien erhöhen, zeigt sich: Wirkungsrisiken werden finanzielle Realität.</w:t>
      </w:r>
    </w:p>
    <w:p>
      <w:pPr>
        <w:spacing w:after="120" w:line="264" w:lineRule="auto"/>
      </w:pPr>
      <w:r>
        <w:t>Die Wirkungsökonomie versteht Versicherbarkeit deshalb als Frühwarnsystem. Sie fragt: Welche Risiken entstehen durch heutiges Handeln? Welche Prävention senkt Schäden? Welche Investitionen vermeiden künftige Reparaturkosten? Versicherungen können damit nicht nur Schäden ausgleichen, sondern Prävention und Resilienz belohnen.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701"/>
            <w:shd w:fill="0B1020"/>
            <w:vAlign w:val="center"/>
          </w:tcPr>
          <w:p>
            <w:r/>
            <w:r>
              <w:rPr>
                <w:rFonts w:ascii="Aptos" w:hAnsi="Aptos"/>
                <w:b/>
                <w:color w:val="FFFFFF"/>
                <w:sz w:val="16"/>
              </w:rPr>
              <w:t>Versicherungsbereich</w:t>
            </w:r>
          </w:p>
        </w:tc>
        <w:tc>
          <w:tcPr>
            <w:tcW w:type="dxa" w:w="2835"/>
            <w:shd w:fill="0B1020"/>
            <w:vAlign w:val="center"/>
          </w:tcPr>
          <w:p>
            <w:r/>
            <w:r>
              <w:rPr>
                <w:rFonts w:ascii="Aptos" w:hAnsi="Aptos"/>
                <w:b/>
                <w:color w:val="FFFFFF"/>
                <w:sz w:val="16"/>
              </w:rPr>
              <w:t>Wirkungsrisiko</w:t>
            </w:r>
          </w:p>
        </w:tc>
        <w:tc>
          <w:tcPr>
            <w:tcW w:type="dxa" w:w="3402"/>
            <w:shd w:fill="0B1020"/>
            <w:vAlign w:val="center"/>
          </w:tcPr>
          <w:p>
            <w:r/>
            <w:r>
              <w:rPr>
                <w:rFonts w:ascii="Aptos" w:hAnsi="Aptos"/>
                <w:b/>
                <w:color w:val="FFFFFF"/>
                <w:sz w:val="16"/>
              </w:rPr>
              <w:t>WÖk-Anreiz</w:t>
            </w:r>
          </w:p>
        </w:tc>
      </w:tr>
      <w:tr>
        <w:tc>
          <w:tcPr>
            <w:tcW w:type="dxa" w:w="1701"/>
            <w:vAlign w:val="top"/>
          </w:tcPr>
          <w:p>
            <w:r/>
            <w:r>
              <w:rPr>
                <w:rFonts w:ascii="Aptos" w:hAnsi="Aptos"/>
                <w:b w:val="0"/>
                <w:color w:val="2A2A2A"/>
                <w:sz w:val="16"/>
              </w:rPr>
              <w:t>Gebäude</w:t>
            </w:r>
          </w:p>
        </w:tc>
        <w:tc>
          <w:tcPr>
            <w:tcW w:type="dxa" w:w="2835"/>
            <w:vAlign w:val="top"/>
          </w:tcPr>
          <w:p>
            <w:r/>
            <w:r>
              <w:rPr>
                <w:rFonts w:ascii="Aptos" w:hAnsi="Aptos"/>
                <w:b w:val="0"/>
                <w:color w:val="2A2A2A"/>
                <w:sz w:val="16"/>
              </w:rPr>
              <w:t>Hochwasser, Hitze, Sturm, Energiearmut</w:t>
            </w:r>
          </w:p>
        </w:tc>
        <w:tc>
          <w:tcPr>
            <w:tcW w:type="dxa" w:w="3402"/>
            <w:vAlign w:val="top"/>
          </w:tcPr>
          <w:p>
            <w:r/>
            <w:r>
              <w:rPr>
                <w:rFonts w:ascii="Aptos" w:hAnsi="Aptos"/>
                <w:b w:val="0"/>
                <w:color w:val="2A2A2A"/>
                <w:sz w:val="16"/>
              </w:rPr>
              <w:t>Sanierungs- und Resilienzbonus, Wohnwirkungscheck</w:t>
            </w:r>
          </w:p>
        </w:tc>
      </w:tr>
      <w:tr>
        <w:tc>
          <w:tcPr>
            <w:tcW w:type="dxa" w:w="1701"/>
            <w:vAlign w:val="top"/>
          </w:tcPr>
          <w:p>
            <w:r/>
            <w:r>
              <w:rPr>
                <w:rFonts w:ascii="Aptos" w:hAnsi="Aptos"/>
                <w:b w:val="0"/>
                <w:color w:val="2A2A2A"/>
                <w:sz w:val="16"/>
              </w:rPr>
              <w:t>Gesundheit</w:t>
            </w:r>
          </w:p>
        </w:tc>
        <w:tc>
          <w:tcPr>
            <w:tcW w:type="dxa" w:w="2835"/>
            <w:vAlign w:val="top"/>
          </w:tcPr>
          <w:p>
            <w:r/>
            <w:r>
              <w:rPr>
                <w:rFonts w:ascii="Aptos" w:hAnsi="Aptos"/>
                <w:b w:val="0"/>
                <w:color w:val="2A2A2A"/>
                <w:sz w:val="16"/>
              </w:rPr>
              <w:t>Präventionslücken, psychische Belastung, Arbeitsrisiken</w:t>
            </w:r>
          </w:p>
        </w:tc>
        <w:tc>
          <w:tcPr>
            <w:tcW w:type="dxa" w:w="3402"/>
            <w:vAlign w:val="top"/>
          </w:tcPr>
          <w:p>
            <w:r/>
            <w:r>
              <w:rPr>
                <w:rFonts w:ascii="Aptos" w:hAnsi="Aptos"/>
                <w:b w:val="0"/>
                <w:color w:val="2A2A2A"/>
                <w:sz w:val="16"/>
              </w:rPr>
              <w:t>Präventionswirkungsrechner, Gesundheitsfonds</w:t>
            </w:r>
          </w:p>
        </w:tc>
      </w:tr>
      <w:tr>
        <w:tc>
          <w:tcPr>
            <w:tcW w:type="dxa" w:w="1701"/>
            <w:vAlign w:val="top"/>
          </w:tcPr>
          <w:p>
            <w:r/>
            <w:r>
              <w:rPr>
                <w:rFonts w:ascii="Aptos" w:hAnsi="Aptos"/>
                <w:b w:val="0"/>
                <w:color w:val="2A2A2A"/>
                <w:sz w:val="16"/>
              </w:rPr>
              <w:t>Lieferkette</w:t>
            </w:r>
          </w:p>
        </w:tc>
        <w:tc>
          <w:tcPr>
            <w:tcW w:type="dxa" w:w="2835"/>
            <w:vAlign w:val="top"/>
          </w:tcPr>
          <w:p>
            <w:r/>
            <w:r>
              <w:rPr>
                <w:rFonts w:ascii="Aptos" w:hAnsi="Aptos"/>
                <w:b w:val="0"/>
                <w:color w:val="2A2A2A"/>
                <w:sz w:val="16"/>
              </w:rPr>
              <w:t>Störungen, Klima, Menschenrechte, politische Risiken</w:t>
            </w:r>
          </w:p>
        </w:tc>
        <w:tc>
          <w:tcPr>
            <w:tcW w:type="dxa" w:w="3402"/>
            <w:vAlign w:val="top"/>
          </w:tcPr>
          <w:p>
            <w:r/>
            <w:r>
              <w:rPr>
                <w:rFonts w:ascii="Aptos" w:hAnsi="Aptos"/>
                <w:b w:val="0"/>
                <w:color w:val="2A2A2A"/>
                <w:sz w:val="16"/>
              </w:rPr>
              <w:t>Lieferketten-Scorecard, Resilienzaufschlag/-bonus</w:t>
            </w:r>
          </w:p>
        </w:tc>
      </w:tr>
      <w:tr>
        <w:tc>
          <w:tcPr>
            <w:tcW w:type="dxa" w:w="1701"/>
            <w:vAlign w:val="top"/>
          </w:tcPr>
          <w:p>
            <w:r/>
            <w:r>
              <w:rPr>
                <w:rFonts w:ascii="Aptos" w:hAnsi="Aptos"/>
                <w:b w:val="0"/>
                <w:color w:val="2A2A2A"/>
                <w:sz w:val="16"/>
              </w:rPr>
              <w:t>Landwirtschaft</w:t>
            </w:r>
          </w:p>
        </w:tc>
        <w:tc>
          <w:tcPr>
            <w:tcW w:type="dxa" w:w="2835"/>
            <w:vAlign w:val="top"/>
          </w:tcPr>
          <w:p>
            <w:r/>
            <w:r>
              <w:rPr>
                <w:rFonts w:ascii="Aptos" w:hAnsi="Aptos"/>
                <w:b w:val="0"/>
                <w:color w:val="2A2A2A"/>
                <w:sz w:val="16"/>
              </w:rPr>
              <w:t>Dürre, Bodenerosion, Biodiversität</w:t>
            </w:r>
          </w:p>
        </w:tc>
        <w:tc>
          <w:tcPr>
            <w:tcW w:type="dxa" w:w="3402"/>
            <w:vAlign w:val="top"/>
          </w:tcPr>
          <w:p>
            <w:r/>
            <w:r>
              <w:rPr>
                <w:rFonts w:ascii="Aptos" w:hAnsi="Aptos"/>
                <w:b w:val="0"/>
                <w:color w:val="2A2A2A"/>
                <w:sz w:val="16"/>
              </w:rPr>
              <w:t>Regenerationsbonus, Wasser- und Bodenindikatoren</w:t>
            </w:r>
          </w:p>
        </w:tc>
      </w:tr>
      <w:tr>
        <w:tc>
          <w:tcPr>
            <w:tcW w:type="dxa" w:w="1701"/>
            <w:vAlign w:val="top"/>
          </w:tcPr>
          <w:p>
            <w:r/>
            <w:r>
              <w:rPr>
                <w:rFonts w:ascii="Aptos" w:hAnsi="Aptos"/>
                <w:b w:val="0"/>
                <w:color w:val="2A2A2A"/>
                <w:sz w:val="16"/>
              </w:rPr>
              <w:t>Cyber/KI</w:t>
            </w:r>
          </w:p>
        </w:tc>
        <w:tc>
          <w:tcPr>
            <w:tcW w:type="dxa" w:w="2835"/>
            <w:vAlign w:val="top"/>
          </w:tcPr>
          <w:p>
            <w:r/>
            <w:r>
              <w:rPr>
                <w:rFonts w:ascii="Aptos" w:hAnsi="Aptos"/>
                <w:b w:val="0"/>
                <w:color w:val="2A2A2A"/>
                <w:sz w:val="16"/>
              </w:rPr>
              <w:t>Datenrisiken, Algorithmusfehler, Manipulation</w:t>
            </w:r>
          </w:p>
        </w:tc>
        <w:tc>
          <w:tcPr>
            <w:tcW w:type="dxa" w:w="3402"/>
            <w:vAlign w:val="top"/>
          </w:tcPr>
          <w:p>
            <w:r/>
            <w:r>
              <w:rPr>
                <w:rFonts w:ascii="Aptos" w:hAnsi="Aptos"/>
                <w:b w:val="0"/>
                <w:color w:val="2A2A2A"/>
                <w:sz w:val="16"/>
              </w:rPr>
              <w:t>KI-Wirkungsrisiko-Check, Cyberresilienzstandard</w:t>
            </w:r>
          </w:p>
        </w:tc>
      </w:tr>
    </w:tbl>
    <w:p>
      <w:pPr>
        <w:pStyle w:val="Heading1"/>
      </w:pPr>
      <w:r>
        <w:t>Kapitalzugang für KMU und Mittelstand</w:t>
      </w:r>
    </w:p>
    <w:p>
      <w:pPr>
        <w:spacing w:after="120" w:line="264" w:lineRule="auto"/>
      </w:pPr>
      <w:r>
        <w:t>Eine zentrale politische Frage ist die KMU-Tauglichkeit. Wenn ESG- und Wirkungsdaten nur für Großunternehmen praktikabel sind, entsteht eine neue Bürokratielücke. Die WÖk braucht deshalb gestufte Verfahren: einfache Kernindikatoren, Branchenprofile, Datenvorlagen, Förderlotsen, öffentliche Beratung und digitale Standardtools.</w:t>
      </w:r>
    </w:p>
    <w:p>
      <w:pPr>
        <w:pStyle w:val="ListBullet"/>
      </w:pPr>
      <w:r>
        <w:t>Kleinstunternehmen: vereinfachte Selbstauskunft plus Branchenbenchmark, keine Überlastung.</w:t>
      </w:r>
    </w:p>
    <w:p>
      <w:pPr>
        <w:pStyle w:val="ListBullet"/>
      </w:pPr>
      <w:r>
        <w:t>KMU: modulare Scorecard mit wenigen relevanten Kernindikatoren und Lieferkettenprofil.</w:t>
      </w:r>
    </w:p>
    <w:p>
      <w:pPr>
        <w:pStyle w:val="ListBullet"/>
      </w:pPr>
      <w:r>
        <w:t>Mittelstand: Wirkungspfad, Transformationsplan, Bankdatenpaket, Förder- und Kreditlogik.</w:t>
      </w:r>
    </w:p>
    <w:p>
      <w:pPr>
        <w:pStyle w:val="ListBullet"/>
      </w:pPr>
      <w:r>
        <w:t>Konzerne: vollständige CSRD-/ESRS-/Taxonomie-Daten, Scope-3, Produkt- und Portfolioauswertung.</w:t>
      </w:r>
    </w:p>
    <w:p>
      <w:pPr>
        <w:pStyle w:val="Heading1"/>
      </w:pPr>
      <w:r>
        <w:t>Wirkungsaufsicht und Missbrauchsschutz</w:t>
      </w:r>
    </w:p>
    <w:p>
      <w:pPr>
        <w:spacing w:after="120" w:line="264" w:lineRule="auto"/>
      </w:pPr>
      <w:r>
        <w:t>Portfolio-Wirkungsratings und Wirkungskredite erzeugen neue Macht. Deshalb brauchen sie demokratische und regulatorische Sicherungen. Es darf keine intransparente private Ratingherrschaft entstehen. Methodiken müssen offen, prüfbar, anfechtbar und versioniert sein. Unternehmen brauchen Rechtsschutz und Korrekturmöglichkeiten. Bürger:innen brauchen verständliche Informationen.</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2268"/>
            <w:shd w:fill="0B1020"/>
            <w:vAlign w:val="center"/>
          </w:tcPr>
          <w:p>
            <w:r/>
            <w:r>
              <w:rPr>
                <w:rFonts w:ascii="Aptos" w:hAnsi="Aptos"/>
                <w:b/>
                <w:color w:val="FFFFFF"/>
                <w:sz w:val="16"/>
              </w:rPr>
              <w:t>Missbrauchsrisiko</w:t>
            </w:r>
          </w:p>
        </w:tc>
        <w:tc>
          <w:tcPr>
            <w:tcW w:type="dxa" w:w="5669"/>
            <w:shd w:fill="0B1020"/>
            <w:vAlign w:val="center"/>
          </w:tcPr>
          <w:p>
            <w:r/>
            <w:r>
              <w:rPr>
                <w:rFonts w:ascii="Aptos" w:hAnsi="Aptos"/>
                <w:b/>
                <w:color w:val="FFFFFF"/>
                <w:sz w:val="16"/>
              </w:rPr>
              <w:t>Schutz</w:t>
            </w:r>
          </w:p>
        </w:tc>
      </w:tr>
      <w:tr>
        <w:tc>
          <w:tcPr>
            <w:tcW w:type="dxa" w:w="2268"/>
            <w:vAlign w:val="top"/>
          </w:tcPr>
          <w:p>
            <w:r/>
            <w:r>
              <w:rPr>
                <w:rFonts w:ascii="Aptos" w:hAnsi="Aptos"/>
                <w:b w:val="0"/>
                <w:color w:val="2A2A2A"/>
                <w:sz w:val="16"/>
              </w:rPr>
              <w:t>Green-/Impact-Washing</w:t>
            </w:r>
          </w:p>
        </w:tc>
        <w:tc>
          <w:tcPr>
            <w:tcW w:type="dxa" w:w="5669"/>
            <w:vAlign w:val="top"/>
          </w:tcPr>
          <w:p>
            <w:r/>
            <w:r>
              <w:rPr>
                <w:rFonts w:ascii="Aptos" w:hAnsi="Aptos"/>
                <w:b w:val="0"/>
                <w:color w:val="2A2A2A"/>
                <w:sz w:val="16"/>
              </w:rPr>
              <w:t>offene WÖk-IDs, Reverse Merit Order, externe Assurance</w:t>
            </w:r>
          </w:p>
        </w:tc>
      </w:tr>
      <w:tr>
        <w:tc>
          <w:tcPr>
            <w:tcW w:type="dxa" w:w="2268"/>
            <w:vAlign w:val="top"/>
          </w:tcPr>
          <w:p>
            <w:r/>
            <w:r>
              <w:rPr>
                <w:rFonts w:ascii="Aptos" w:hAnsi="Aptos"/>
                <w:b w:val="0"/>
                <w:color w:val="2A2A2A"/>
                <w:sz w:val="16"/>
              </w:rPr>
              <w:t>private Ratingmacht</w:t>
            </w:r>
          </w:p>
        </w:tc>
        <w:tc>
          <w:tcPr>
            <w:tcW w:type="dxa" w:w="5669"/>
            <w:vAlign w:val="top"/>
          </w:tcPr>
          <w:p>
            <w:r/>
            <w:r>
              <w:rPr>
                <w:rFonts w:ascii="Aptos" w:hAnsi="Aptos"/>
                <w:b w:val="0"/>
                <w:color w:val="2A2A2A"/>
                <w:sz w:val="16"/>
              </w:rPr>
              <w:t>Wirkungsrat, Methodentransparenz, Beschwerde- und Prüfverfahren</w:t>
            </w:r>
          </w:p>
        </w:tc>
      </w:tr>
      <w:tr>
        <w:tc>
          <w:tcPr>
            <w:tcW w:type="dxa" w:w="2268"/>
            <w:vAlign w:val="top"/>
          </w:tcPr>
          <w:p>
            <w:r/>
            <w:r>
              <w:rPr>
                <w:rFonts w:ascii="Aptos" w:hAnsi="Aptos"/>
                <w:b w:val="0"/>
                <w:color w:val="2A2A2A"/>
                <w:sz w:val="16"/>
              </w:rPr>
              <w:t>Datenüberforderung</w:t>
            </w:r>
          </w:p>
        </w:tc>
        <w:tc>
          <w:tcPr>
            <w:tcW w:type="dxa" w:w="5669"/>
            <w:vAlign w:val="top"/>
          </w:tcPr>
          <w:p>
            <w:r/>
            <w:r>
              <w:rPr>
                <w:rFonts w:ascii="Aptos" w:hAnsi="Aptos"/>
                <w:b w:val="0"/>
                <w:color w:val="2A2A2A"/>
                <w:sz w:val="16"/>
              </w:rPr>
              <w:t>gestufte KMU-Verfahren, Standardtools, Beratungsanspruch</w:t>
            </w:r>
          </w:p>
        </w:tc>
      </w:tr>
      <w:tr>
        <w:tc>
          <w:tcPr>
            <w:tcW w:type="dxa" w:w="2268"/>
            <w:vAlign w:val="top"/>
          </w:tcPr>
          <w:p>
            <w:r/>
            <w:r>
              <w:rPr>
                <w:rFonts w:ascii="Aptos" w:hAnsi="Aptos"/>
                <w:b w:val="0"/>
                <w:color w:val="2A2A2A"/>
                <w:sz w:val="16"/>
              </w:rPr>
              <w:t>Technokratie</w:t>
            </w:r>
          </w:p>
        </w:tc>
        <w:tc>
          <w:tcPr>
            <w:tcW w:type="dxa" w:w="5669"/>
            <w:vAlign w:val="top"/>
          </w:tcPr>
          <w:p>
            <w:r/>
            <w:r>
              <w:rPr>
                <w:rFonts w:ascii="Aptos" w:hAnsi="Aptos"/>
                <w:b w:val="0"/>
                <w:color w:val="2A2A2A"/>
                <w:sz w:val="16"/>
              </w:rPr>
              <w:t>keine automatische Kreditentscheidung allein durch Score</w:t>
            </w:r>
          </w:p>
        </w:tc>
      </w:tr>
      <w:tr>
        <w:tc>
          <w:tcPr>
            <w:tcW w:type="dxa" w:w="2268"/>
            <w:vAlign w:val="top"/>
          </w:tcPr>
          <w:p>
            <w:r/>
            <w:r>
              <w:rPr>
                <w:rFonts w:ascii="Aptos" w:hAnsi="Aptos"/>
                <w:b w:val="0"/>
                <w:color w:val="2A2A2A"/>
                <w:sz w:val="16"/>
              </w:rPr>
              <w:t>Diskriminierung</w:t>
            </w:r>
          </w:p>
        </w:tc>
        <w:tc>
          <w:tcPr>
            <w:tcW w:type="dxa" w:w="5669"/>
            <w:vAlign w:val="top"/>
          </w:tcPr>
          <w:p>
            <w:r/>
            <w:r>
              <w:rPr>
                <w:rFonts w:ascii="Aptos" w:hAnsi="Aptos"/>
                <w:b w:val="0"/>
                <w:color w:val="2A2A2A"/>
                <w:sz w:val="16"/>
              </w:rPr>
              <w:t>Algorithmusprüfung, Fairness, manuelle Prüfung, Rechtsweg</w:t>
            </w:r>
          </w:p>
        </w:tc>
      </w:tr>
      <w:tr>
        <w:tc>
          <w:tcPr>
            <w:tcW w:type="dxa" w:w="2268"/>
            <w:vAlign w:val="top"/>
          </w:tcPr>
          <w:p>
            <w:r/>
            <w:r>
              <w:rPr>
                <w:rFonts w:ascii="Aptos" w:hAnsi="Aptos"/>
                <w:b w:val="0"/>
                <w:color w:val="2A2A2A"/>
                <w:sz w:val="16"/>
              </w:rPr>
              <w:t>Lobbying</w:t>
            </w:r>
          </w:p>
        </w:tc>
        <w:tc>
          <w:tcPr>
            <w:tcW w:type="dxa" w:w="5669"/>
            <w:vAlign w:val="top"/>
          </w:tcPr>
          <w:p>
            <w:r/>
            <w:r>
              <w:rPr>
                <w:rFonts w:ascii="Aptos" w:hAnsi="Aptos"/>
                <w:b w:val="0"/>
                <w:color w:val="2A2A2A"/>
                <w:sz w:val="16"/>
              </w:rPr>
              <w:t>Transparenzregister, Cooling-off, öffentliche Konsultation</w:t>
            </w:r>
          </w:p>
        </w:tc>
      </w:tr>
    </w:tbl>
    <w:p>
      <w:pPr>
        <w:pStyle w:val="Heading1"/>
      </w:pPr>
      <w:r>
        <w:t>Praxislogik: vom Kreditgespräch zur Wirkungskondition</w:t>
      </w:r>
    </w:p>
    <w:p>
      <w:pPr>
        <w:spacing w:after="120" w:line="264" w:lineRule="auto"/>
      </w:pPr>
      <w:r>
        <w:t>Der praktische Prozess könnte in sechs Schritten verlaufen. Erstens wird der Finanzierungsgegenstand klassifiziert: Gebäude, Produkt, Lieferkette, Anlage, Innovation oder Betriebsmittel. Zweitens werden relevante WÖk-IDs und Datenquellen bestimmt. Drittens wird ein Ausgangsprofil erstellt. Viertens definiert das Unternehmen einen realistischen Transformationspfad. Fünftens koppelt die Bank Konditionen an überprüfbare Meilensteine. Sechstens wird periodisch geprüft und korrigiert.</w:t>
      </w:r>
    </w:p>
    <w:tbl>
      <w:tblPr>
        <w:tblStyle w:val="TableGrid"/>
        <w:tblW w:type="auto" w:w="0"/>
        <w:jc w:val="center"/>
        <w:tblLook w:firstColumn="1" w:firstRow="1" w:lastColumn="0" w:lastRow="0" w:noHBand="0" w:noVBand="1" w:val="04A0"/>
      </w:tblPr>
      <w:tblGrid>
        <w:gridCol w:w="10200"/>
      </w:tblGrid>
      <w:tr>
        <w:tc>
          <w:tcPr>
            <w:tcW w:type="dxa" w:w="10200"/>
            <w:shd w:fill="FBF8F1"/>
          </w:tcPr>
          <w:p>
            <w:r>
              <w:rPr>
                <w:rFonts w:ascii="Aptos" w:hAnsi="Aptos"/>
                <w:b/>
                <w:color w:val="C89B3C"/>
                <w:sz w:val="18"/>
              </w:rPr>
              <w:t>KEINE AUTOMATISCHE STRAFE</w:t>
            </w:r>
          </w:p>
          <w:p>
            <w:r>
              <w:rPr>
                <w:rFonts w:ascii="Aptos" w:hAnsi="Aptos"/>
                <w:color w:val="2A2A2A"/>
                <w:sz w:val="21"/>
              </w:rPr>
              <w:t>Ein schlechter Ausgangswert ist nicht automatisch Ausschluss. Entscheidend ist, ob ein glaubwürdiger, prüfbarer und verhältnismäßiger Transformationspfad besteht.</w:t>
            </w:r>
          </w:p>
        </w:tc>
      </w:tr>
    </w:tbl>
    <w:p>
      <w:pPr>
        <w:pStyle w:val="Heading1"/>
      </w:pPr>
      <w:r>
        <w:t>Grenzen und offene Fragen</w:t>
      </w:r>
    </w:p>
    <w:p>
      <w:pPr>
        <w:spacing w:after="120" w:line="264" w:lineRule="auto"/>
      </w:pPr>
      <w:r>
        <w:t>Nicht jede Wirkung ist sofort messbar. Nicht jede Branche kann dieselben Indikatoren liefern. Nicht jedes Risiko darf automatisch zu Kapitalentzug führen, weil sonst Transformation erschwert wird. Die WÖk muss deshalb zwischen schlechten Ausgangswerten und schlechten Pfaden unterscheiden. Ein Unternehmen mit hohem Risiko, aber glaubwürdiger Transformation, braucht anderes Kapital als ein Unternehmen, das Risiken leugnet oder externalisiert.</w:t>
      </w:r>
    </w:p>
    <w:p>
      <w:pPr>
        <w:spacing w:after="120" w:line="264" w:lineRule="auto"/>
      </w:pPr>
      <w:r>
        <w:t>Der Umgang mit Unsicherheit wird selbst zur Governance-Aufgabe. Schätzungen müssen markiert, Datenqualität ausgewiesen, Einsprüche ermöglicht und Methoden versioniert werden.</w:t>
      </w:r>
    </w:p>
    <w:p>
      <w:pPr>
        <w:pStyle w:val="Heading1"/>
      </w:pPr>
      <w:r>
        <w:t>Beispiel: KMU-Transformationskredit</w:t>
      </w:r>
    </w:p>
    <w:p>
      <w:pPr>
        <w:spacing w:after="120" w:line="264" w:lineRule="auto"/>
      </w:pPr>
      <w:r>
        <w:t>Ein mittelständischer Metallverarbeiter will Energie, Materialeffizienz und Lieferkettenresilienz verbessern. In der klassischen Kreditprüfung zählen Sicherheiten, Cashflow und Branchenrisiko. In der WÖk-Prüfung kommen Energieabhängigkeit, Materialintensität, Kundenanforderungen, Produktwirkung, Datenqualität und Transformationsmeilensteine hinzu. Der Kredit wird nicht teurer, weil Transformation nötig ist. Er kann günstiger werden, wenn der Pfad glaubwürdig positive Netto-Wirkung und Risikosenkung erzeugt.</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701"/>
            <w:shd w:fill="0B1020"/>
            <w:vAlign w:val="center"/>
          </w:tcPr>
          <w:p>
            <w:r/>
            <w:r>
              <w:rPr>
                <w:rFonts w:ascii="Aptos" w:hAnsi="Aptos"/>
                <w:b/>
                <w:color w:val="FFFFFF"/>
                <w:sz w:val="16"/>
              </w:rPr>
              <w:t>Meilenstein</w:t>
            </w:r>
          </w:p>
        </w:tc>
        <w:tc>
          <w:tcPr>
            <w:tcW w:type="dxa" w:w="2835"/>
            <w:shd w:fill="0B1020"/>
            <w:vAlign w:val="center"/>
          </w:tcPr>
          <w:p>
            <w:r/>
            <w:r>
              <w:rPr>
                <w:rFonts w:ascii="Aptos" w:hAnsi="Aptos"/>
                <w:b/>
                <w:color w:val="FFFFFF"/>
                <w:sz w:val="16"/>
              </w:rPr>
              <w:t>Wirkungsindikator</w:t>
            </w:r>
          </w:p>
        </w:tc>
        <w:tc>
          <w:tcPr>
            <w:tcW w:type="dxa" w:w="2835"/>
            <w:shd w:fill="0B1020"/>
            <w:vAlign w:val="center"/>
          </w:tcPr>
          <w:p>
            <w:r/>
            <w:r>
              <w:rPr>
                <w:rFonts w:ascii="Aptos" w:hAnsi="Aptos"/>
                <w:b/>
                <w:color w:val="FFFFFF"/>
                <w:sz w:val="16"/>
              </w:rPr>
              <w:t>Kreditkondition</w:t>
            </w:r>
          </w:p>
        </w:tc>
      </w:tr>
      <w:tr>
        <w:tc>
          <w:tcPr>
            <w:tcW w:type="dxa" w:w="1701"/>
            <w:vAlign w:val="top"/>
          </w:tcPr>
          <w:p>
            <w:r/>
            <w:r>
              <w:rPr>
                <w:rFonts w:ascii="Aptos" w:hAnsi="Aptos"/>
                <w:b w:val="0"/>
                <w:color w:val="2A2A2A"/>
                <w:sz w:val="16"/>
              </w:rPr>
              <w:t>Energieaudit abgeschlossen</w:t>
            </w:r>
          </w:p>
        </w:tc>
        <w:tc>
          <w:tcPr>
            <w:tcW w:type="dxa" w:w="2835"/>
            <w:vAlign w:val="top"/>
          </w:tcPr>
          <w:p>
            <w:r/>
            <w:r>
              <w:rPr>
                <w:rFonts w:ascii="Aptos" w:hAnsi="Aptos"/>
                <w:b w:val="0"/>
                <w:color w:val="2A2A2A"/>
                <w:sz w:val="16"/>
              </w:rPr>
              <w:t>Datenqualität B oder besser</w:t>
            </w:r>
          </w:p>
        </w:tc>
        <w:tc>
          <w:tcPr>
            <w:tcW w:type="dxa" w:w="2835"/>
            <w:vAlign w:val="top"/>
          </w:tcPr>
          <w:p>
            <w:r/>
            <w:r>
              <w:rPr>
                <w:rFonts w:ascii="Aptos" w:hAnsi="Aptos"/>
                <w:b w:val="0"/>
                <w:color w:val="2A2A2A"/>
                <w:sz w:val="16"/>
              </w:rPr>
              <w:t>Auszahlung Tranche 1</w:t>
            </w:r>
          </w:p>
        </w:tc>
      </w:tr>
      <w:tr>
        <w:tc>
          <w:tcPr>
            <w:tcW w:type="dxa" w:w="1701"/>
            <w:vAlign w:val="top"/>
          </w:tcPr>
          <w:p>
            <w:r/>
            <w:r>
              <w:rPr>
                <w:rFonts w:ascii="Aptos" w:hAnsi="Aptos"/>
                <w:b w:val="0"/>
                <w:color w:val="2A2A2A"/>
                <w:sz w:val="16"/>
              </w:rPr>
              <w:t>30 % erneuerbarer Strom</w:t>
            </w:r>
          </w:p>
        </w:tc>
        <w:tc>
          <w:tcPr>
            <w:tcW w:type="dxa" w:w="2835"/>
            <w:vAlign w:val="top"/>
          </w:tcPr>
          <w:p>
            <w:r/>
            <w:r>
              <w:rPr>
                <w:rFonts w:ascii="Aptos" w:hAnsi="Aptos"/>
                <w:b w:val="0"/>
                <w:color w:val="2A2A2A"/>
                <w:sz w:val="16"/>
              </w:rPr>
              <w:t>THG-Intensität sinkt</w:t>
            </w:r>
          </w:p>
        </w:tc>
        <w:tc>
          <w:tcPr>
            <w:tcW w:type="dxa" w:w="2835"/>
            <w:vAlign w:val="top"/>
          </w:tcPr>
          <w:p>
            <w:r/>
            <w:r>
              <w:rPr>
                <w:rFonts w:ascii="Aptos" w:hAnsi="Aptos"/>
                <w:b w:val="0"/>
                <w:color w:val="2A2A2A"/>
                <w:sz w:val="16"/>
              </w:rPr>
              <w:t>Zinsbonus 0,2 Punkte</w:t>
            </w:r>
          </w:p>
        </w:tc>
      </w:tr>
      <w:tr>
        <w:tc>
          <w:tcPr>
            <w:tcW w:type="dxa" w:w="1701"/>
            <w:vAlign w:val="top"/>
          </w:tcPr>
          <w:p>
            <w:r/>
            <w:r>
              <w:rPr>
                <w:rFonts w:ascii="Aptos" w:hAnsi="Aptos"/>
                <w:b w:val="0"/>
                <w:color w:val="2A2A2A"/>
                <w:sz w:val="16"/>
              </w:rPr>
              <w:t>Materialkreislauf eingeführt</w:t>
            </w:r>
          </w:p>
        </w:tc>
        <w:tc>
          <w:tcPr>
            <w:tcW w:type="dxa" w:w="2835"/>
            <w:vAlign w:val="top"/>
          </w:tcPr>
          <w:p>
            <w:r/>
            <w:r>
              <w:rPr>
                <w:rFonts w:ascii="Aptos" w:hAnsi="Aptos"/>
                <w:b w:val="0"/>
                <w:color w:val="2A2A2A"/>
                <w:sz w:val="16"/>
              </w:rPr>
              <w:t>Abfallquote sinkt, Rezyklatanteil steigt</w:t>
            </w:r>
          </w:p>
        </w:tc>
        <w:tc>
          <w:tcPr>
            <w:tcW w:type="dxa" w:w="2835"/>
            <w:vAlign w:val="top"/>
          </w:tcPr>
          <w:p>
            <w:r/>
            <w:r>
              <w:rPr>
                <w:rFonts w:ascii="Aptos" w:hAnsi="Aptos"/>
                <w:b w:val="0"/>
                <w:color w:val="2A2A2A"/>
                <w:sz w:val="16"/>
              </w:rPr>
              <w:t>Zinsbonus 0,15 Punkte</w:t>
            </w:r>
          </w:p>
        </w:tc>
      </w:tr>
      <w:tr>
        <w:tc>
          <w:tcPr>
            <w:tcW w:type="dxa" w:w="1701"/>
            <w:vAlign w:val="top"/>
          </w:tcPr>
          <w:p>
            <w:r/>
            <w:r>
              <w:rPr>
                <w:rFonts w:ascii="Aptos" w:hAnsi="Aptos"/>
                <w:b w:val="0"/>
                <w:color w:val="2A2A2A"/>
                <w:sz w:val="16"/>
              </w:rPr>
              <w:t>Lieferantenrisiko transparent</w:t>
            </w:r>
          </w:p>
        </w:tc>
        <w:tc>
          <w:tcPr>
            <w:tcW w:type="dxa" w:w="2835"/>
            <w:vAlign w:val="top"/>
          </w:tcPr>
          <w:p>
            <w:r/>
            <w:r>
              <w:rPr>
                <w:rFonts w:ascii="Aptos" w:hAnsi="Aptos"/>
                <w:b w:val="0"/>
                <w:color w:val="2A2A2A"/>
                <w:sz w:val="16"/>
              </w:rPr>
              <w:t>kritische Lieferanten bewertet</w:t>
            </w:r>
          </w:p>
        </w:tc>
        <w:tc>
          <w:tcPr>
            <w:tcW w:type="dxa" w:w="2835"/>
            <w:vAlign w:val="top"/>
          </w:tcPr>
          <w:p>
            <w:r/>
            <w:r>
              <w:rPr>
                <w:rFonts w:ascii="Aptos" w:hAnsi="Aptos"/>
                <w:b w:val="0"/>
                <w:color w:val="2A2A2A"/>
                <w:sz w:val="16"/>
              </w:rPr>
              <w:t>Covenant erfüllt</w:t>
            </w:r>
          </w:p>
        </w:tc>
      </w:tr>
      <w:tr>
        <w:tc>
          <w:tcPr>
            <w:tcW w:type="dxa" w:w="1701"/>
            <w:vAlign w:val="top"/>
          </w:tcPr>
          <w:p>
            <w:r/>
            <w:r>
              <w:rPr>
                <w:rFonts w:ascii="Aptos" w:hAnsi="Aptos"/>
                <w:b w:val="0"/>
                <w:color w:val="2A2A2A"/>
                <w:sz w:val="16"/>
              </w:rPr>
              <w:t>Produkt-Score verbessert</w:t>
            </w:r>
          </w:p>
        </w:tc>
        <w:tc>
          <w:tcPr>
            <w:tcW w:type="dxa" w:w="2835"/>
            <w:vAlign w:val="top"/>
          </w:tcPr>
          <w:p>
            <w:r/>
            <w:r>
              <w:rPr>
                <w:rFonts w:ascii="Aptos" w:hAnsi="Aptos"/>
                <w:b w:val="0"/>
                <w:color w:val="2A2A2A"/>
                <w:sz w:val="16"/>
              </w:rPr>
              <w:t>FinalScore von 0 auf +1</w:t>
            </w:r>
          </w:p>
        </w:tc>
        <w:tc>
          <w:tcPr>
            <w:tcW w:type="dxa" w:w="2835"/>
            <w:vAlign w:val="top"/>
          </w:tcPr>
          <w:p>
            <w:r/>
            <w:r>
              <w:rPr>
                <w:rFonts w:ascii="Aptos" w:hAnsi="Aptos"/>
                <w:b w:val="0"/>
                <w:color w:val="2A2A2A"/>
                <w:sz w:val="16"/>
              </w:rPr>
              <w:t>zusätzliche Förderquote möglich</w:t>
            </w:r>
          </w:p>
        </w:tc>
      </w:tr>
    </w:tbl>
    <w:p>
      <w:pPr>
        <w:pStyle w:val="Heading1"/>
      </w:pPr>
      <w:r>
        <w:t>Versicherungslogik im Detail</w:t>
      </w:r>
    </w:p>
    <w:p>
      <w:pPr>
        <w:spacing w:after="120" w:line="264" w:lineRule="auto"/>
      </w:pPr>
      <w:r>
        <w:t>Versicherer können die Wirkungsökonomie besonders greifbar machen, weil sie Risiken bepreisen, die politisch oft abstrakt bleiben. Klimaanpassung, Gebäudeschutz, Prävention, Cyberresilienz, Gesundheitsprogramme und Lieferkettenstabilität werden durch Versicherungsprämien und Deckungsbedingungen ökonomisch sichtbar.</w:t>
      </w:r>
    </w:p>
    <w:p>
      <w:pPr>
        <w:pStyle w:val="ListBullet"/>
      </w:pPr>
      <w:r>
        <w:t>Prämien können sinken, wenn nachweisbare Prävention Schäden reduziert.</w:t>
      </w:r>
    </w:p>
    <w:p>
      <w:pPr>
        <w:pStyle w:val="ListBullet"/>
      </w:pPr>
      <w:r>
        <w:t>Deckung kann an Mindeststandards für Resilienz, Wartung, Datenintegrität oder Katastrophenschutz gekoppelt werden.</w:t>
      </w:r>
    </w:p>
    <w:p>
      <w:pPr>
        <w:pStyle w:val="ListBullet"/>
      </w:pPr>
      <w:r>
        <w:t>Nichtversicherbarkeit wird zum Warnsignal für Staat, Eigentümer:innen und Kapitalmärkte.</w:t>
      </w:r>
    </w:p>
    <w:p>
      <w:pPr>
        <w:pStyle w:val="ListBullet"/>
      </w:pPr>
      <w:r>
        <w:t>Versicherungsdaten können helfen, Wirkungshaushalte und Fonds auf Prävention auszurichten.</w:t>
      </w:r>
    </w:p>
    <w:p>
      <w:pPr>
        <w:pStyle w:val="ListBullet"/>
      </w:pPr>
      <w:r>
        <w:t>Gleichzeitig braucht es Sozialschutz, damit Risikobepreisung vulnerable Gruppen nicht ausschließt.</w:t>
      </w:r>
    </w:p>
    <w:p>
      <w:pPr>
        <w:pStyle w:val="Heading1"/>
      </w:pPr>
      <w:r>
        <w:t>Kreditprüfung nach Wirkung: Minimaldatensatz</w:t>
      </w:r>
    </w:p>
    <w:p>
      <w:pPr>
        <w:spacing w:after="120" w:line="264" w:lineRule="auto"/>
      </w:pPr>
      <w:r>
        <w:t>Für KMU und Mittelstand braucht es einen Minimaldatensatz, der Banken nicht überfordert und Unternehmen nicht in Berichtschaos zwingt. Dieser Datensatz kann später erweitert werden, sollte aber sofort anschlussfähig an bestehende Bankprozesse sein.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701"/>
            <w:shd w:fill="0B1020"/>
            <w:vAlign w:val="center"/>
          </w:tcPr>
          <w:p>
            <w:r/>
            <w:r>
              <w:rPr>
                <w:rFonts w:ascii="Aptos" w:hAnsi="Aptos"/>
                <w:b/>
                <w:color w:val="FFFFFF"/>
                <w:sz w:val="16"/>
              </w:rPr>
              <w:t>Datenfeld</w:t>
            </w:r>
          </w:p>
        </w:tc>
        <w:tc>
          <w:tcPr>
            <w:tcW w:type="dxa" w:w="2835"/>
            <w:shd w:fill="0B1020"/>
            <w:vAlign w:val="center"/>
          </w:tcPr>
          <w:p>
            <w:r/>
            <w:r>
              <w:rPr>
                <w:rFonts w:ascii="Aptos" w:hAnsi="Aptos"/>
                <w:b/>
                <w:color w:val="FFFFFF"/>
                <w:sz w:val="16"/>
              </w:rPr>
              <w:t>Frage</w:t>
            </w:r>
          </w:p>
        </w:tc>
        <w:tc>
          <w:tcPr>
            <w:tcW w:type="dxa" w:w="3402"/>
            <w:shd w:fill="0B1020"/>
            <w:vAlign w:val="center"/>
          </w:tcPr>
          <w:p>
            <w:r/>
            <w:r>
              <w:rPr>
                <w:rFonts w:ascii="Aptos" w:hAnsi="Aptos"/>
                <w:b/>
                <w:color w:val="FFFFFF"/>
                <w:sz w:val="16"/>
              </w:rPr>
              <w:t>Warum kreditrelevant?</w:t>
            </w:r>
          </w:p>
        </w:tc>
      </w:tr>
      <w:tr>
        <w:tc>
          <w:tcPr>
            <w:tcW w:type="dxa" w:w="1701"/>
            <w:vAlign w:val="top"/>
          </w:tcPr>
          <w:p>
            <w:r/>
            <w:r>
              <w:rPr>
                <w:rFonts w:ascii="Aptos" w:hAnsi="Aptos"/>
                <w:b w:val="0"/>
                <w:color w:val="2A2A2A"/>
                <w:sz w:val="16"/>
              </w:rPr>
              <w:t>Energie und Emissionen</w:t>
            </w:r>
          </w:p>
        </w:tc>
        <w:tc>
          <w:tcPr>
            <w:tcW w:type="dxa" w:w="2835"/>
            <w:vAlign w:val="top"/>
          </w:tcPr>
          <w:p>
            <w:r/>
            <w:r>
              <w:rPr>
                <w:rFonts w:ascii="Aptos" w:hAnsi="Aptos"/>
                <w:b w:val="0"/>
                <w:color w:val="2A2A2A"/>
                <w:sz w:val="16"/>
              </w:rPr>
              <w:t>Wie abhängig ist das Unternehmen von fossiler Energie?</w:t>
            </w:r>
          </w:p>
        </w:tc>
        <w:tc>
          <w:tcPr>
            <w:tcW w:type="dxa" w:w="3402"/>
            <w:vAlign w:val="top"/>
          </w:tcPr>
          <w:p>
            <w:r/>
            <w:r>
              <w:rPr>
                <w:rFonts w:ascii="Aptos" w:hAnsi="Aptos"/>
                <w:b w:val="0"/>
                <w:color w:val="2A2A2A"/>
                <w:sz w:val="16"/>
              </w:rPr>
              <w:t>Kosten-, Regulierungs- und Transformationsrisiko</w:t>
            </w:r>
          </w:p>
        </w:tc>
      </w:tr>
      <w:tr>
        <w:tc>
          <w:tcPr>
            <w:tcW w:type="dxa" w:w="1701"/>
            <w:vAlign w:val="top"/>
          </w:tcPr>
          <w:p>
            <w:r/>
            <w:r>
              <w:rPr>
                <w:rFonts w:ascii="Aptos" w:hAnsi="Aptos"/>
                <w:b w:val="0"/>
                <w:color w:val="2A2A2A"/>
                <w:sz w:val="16"/>
              </w:rPr>
              <w:t>Material und Lieferkette</w:t>
            </w:r>
          </w:p>
        </w:tc>
        <w:tc>
          <w:tcPr>
            <w:tcW w:type="dxa" w:w="2835"/>
            <w:vAlign w:val="top"/>
          </w:tcPr>
          <w:p>
            <w:r/>
            <w:r>
              <w:rPr>
                <w:rFonts w:ascii="Aptos" w:hAnsi="Aptos"/>
                <w:b w:val="0"/>
                <w:color w:val="2A2A2A"/>
                <w:sz w:val="16"/>
              </w:rPr>
              <w:t>Welche kritischen Rohstoffe und Lieferantenrisiken bestehen?</w:t>
            </w:r>
          </w:p>
        </w:tc>
        <w:tc>
          <w:tcPr>
            <w:tcW w:type="dxa" w:w="3402"/>
            <w:vAlign w:val="top"/>
          </w:tcPr>
          <w:p>
            <w:r/>
            <w:r>
              <w:rPr>
                <w:rFonts w:ascii="Aptos" w:hAnsi="Aptos"/>
                <w:b w:val="0"/>
                <w:color w:val="2A2A2A"/>
                <w:sz w:val="16"/>
              </w:rPr>
              <w:t>Resilienz, Unterbrechung, CSDDD-/Kundenanforderungen</w:t>
            </w:r>
          </w:p>
        </w:tc>
      </w:tr>
      <w:tr>
        <w:tc>
          <w:tcPr>
            <w:tcW w:type="dxa" w:w="1701"/>
            <w:vAlign w:val="top"/>
          </w:tcPr>
          <w:p>
            <w:r/>
            <w:r>
              <w:rPr>
                <w:rFonts w:ascii="Aptos" w:hAnsi="Aptos"/>
                <w:b w:val="0"/>
                <w:color w:val="2A2A2A"/>
                <w:sz w:val="16"/>
              </w:rPr>
              <w:t>Arbeits- und Fachkräftebasis</w:t>
            </w:r>
          </w:p>
        </w:tc>
        <w:tc>
          <w:tcPr>
            <w:tcW w:type="dxa" w:w="2835"/>
            <w:vAlign w:val="top"/>
          </w:tcPr>
          <w:p>
            <w:r/>
            <w:r>
              <w:rPr>
                <w:rFonts w:ascii="Aptos" w:hAnsi="Aptos"/>
                <w:b w:val="0"/>
                <w:color w:val="2A2A2A"/>
                <w:sz w:val="16"/>
              </w:rPr>
              <w:t>Wie stabil sind Beschäftigung, Qualifikation und Gesundheit?</w:t>
            </w:r>
          </w:p>
        </w:tc>
        <w:tc>
          <w:tcPr>
            <w:tcW w:type="dxa" w:w="3402"/>
            <w:vAlign w:val="top"/>
          </w:tcPr>
          <w:p>
            <w:r/>
            <w:r>
              <w:rPr>
                <w:rFonts w:ascii="Aptos" w:hAnsi="Aptos"/>
                <w:b w:val="0"/>
                <w:color w:val="2A2A2A"/>
                <w:sz w:val="16"/>
              </w:rPr>
              <w:t>Produktivität, Fachkräfte, Ausfallrisiko</w:t>
            </w:r>
          </w:p>
        </w:tc>
      </w:tr>
      <w:tr>
        <w:tc>
          <w:tcPr>
            <w:tcW w:type="dxa" w:w="1701"/>
            <w:vAlign w:val="top"/>
          </w:tcPr>
          <w:p>
            <w:r/>
            <w:r>
              <w:rPr>
                <w:rFonts w:ascii="Aptos" w:hAnsi="Aptos"/>
                <w:b w:val="0"/>
                <w:color w:val="2A2A2A"/>
                <w:sz w:val="16"/>
              </w:rPr>
              <w:t>Produktwirkung</w:t>
            </w:r>
          </w:p>
        </w:tc>
        <w:tc>
          <w:tcPr>
            <w:tcW w:type="dxa" w:w="2835"/>
            <w:vAlign w:val="top"/>
          </w:tcPr>
          <w:p>
            <w:r/>
            <w:r>
              <w:rPr>
                <w:rFonts w:ascii="Aptos" w:hAnsi="Aptos"/>
                <w:b w:val="0"/>
                <w:color w:val="2A2A2A"/>
                <w:sz w:val="16"/>
              </w:rPr>
              <w:t>Welchen Score haben zentrale Produkte oder Leistungen?</w:t>
            </w:r>
          </w:p>
        </w:tc>
        <w:tc>
          <w:tcPr>
            <w:tcW w:type="dxa" w:w="3402"/>
            <w:vAlign w:val="top"/>
          </w:tcPr>
          <w:p>
            <w:r/>
            <w:r>
              <w:rPr>
                <w:rFonts w:ascii="Aptos" w:hAnsi="Aptos"/>
                <w:b w:val="0"/>
                <w:color w:val="2A2A2A"/>
                <w:sz w:val="16"/>
              </w:rPr>
              <w:t>Marktfähigkeit, Steuerwirkung, Reputationsrisiko</w:t>
            </w:r>
          </w:p>
        </w:tc>
      </w:tr>
      <w:tr>
        <w:tc>
          <w:tcPr>
            <w:tcW w:type="dxa" w:w="1701"/>
            <w:vAlign w:val="top"/>
          </w:tcPr>
          <w:p>
            <w:r/>
            <w:r>
              <w:rPr>
                <w:rFonts w:ascii="Aptos" w:hAnsi="Aptos"/>
                <w:b w:val="0"/>
                <w:color w:val="2A2A2A"/>
                <w:sz w:val="16"/>
              </w:rPr>
              <w:t>Governance</w:t>
            </w:r>
          </w:p>
        </w:tc>
        <w:tc>
          <w:tcPr>
            <w:tcW w:type="dxa" w:w="2835"/>
            <w:vAlign w:val="top"/>
          </w:tcPr>
          <w:p>
            <w:r/>
            <w:r>
              <w:rPr>
                <w:rFonts w:ascii="Aptos" w:hAnsi="Aptos"/>
                <w:b w:val="0"/>
                <w:color w:val="2A2A2A"/>
                <w:sz w:val="16"/>
              </w:rPr>
              <w:t>Wer verantwortet Daten, Risiken und Transformation?</w:t>
            </w:r>
          </w:p>
        </w:tc>
        <w:tc>
          <w:tcPr>
            <w:tcW w:type="dxa" w:w="3402"/>
            <w:vAlign w:val="top"/>
          </w:tcPr>
          <w:p>
            <w:r/>
            <w:r>
              <w:rPr>
                <w:rFonts w:ascii="Aptos" w:hAnsi="Aptos"/>
                <w:b w:val="0"/>
                <w:color w:val="2A2A2A"/>
                <w:sz w:val="16"/>
              </w:rPr>
              <w:t>Umsetzungsfähigkeit und Kreditqualität</w:t>
            </w:r>
          </w:p>
        </w:tc>
      </w:tr>
      <w:tr>
        <w:tc>
          <w:tcPr>
            <w:tcW w:type="dxa" w:w="1701"/>
            <w:vAlign w:val="top"/>
          </w:tcPr>
          <w:p>
            <w:r/>
            <w:r>
              <w:rPr>
                <w:rFonts w:ascii="Aptos" w:hAnsi="Aptos"/>
                <w:b w:val="0"/>
                <w:color w:val="2A2A2A"/>
                <w:sz w:val="16"/>
              </w:rPr>
              <w:t>Transformationsplan</w:t>
            </w:r>
          </w:p>
        </w:tc>
        <w:tc>
          <w:tcPr>
            <w:tcW w:type="dxa" w:w="2835"/>
            <w:vAlign w:val="top"/>
          </w:tcPr>
          <w:p>
            <w:r/>
            <w:r>
              <w:rPr>
                <w:rFonts w:ascii="Aptos" w:hAnsi="Aptos"/>
                <w:b w:val="0"/>
                <w:color w:val="2A2A2A"/>
                <w:sz w:val="16"/>
              </w:rPr>
              <w:t>Welche Meilensteine sind geplant und finanziert?</w:t>
            </w:r>
          </w:p>
        </w:tc>
        <w:tc>
          <w:tcPr>
            <w:tcW w:type="dxa" w:w="3402"/>
            <w:vAlign w:val="top"/>
          </w:tcPr>
          <w:p>
            <w:r/>
            <w:r>
              <w:rPr>
                <w:rFonts w:ascii="Aptos" w:hAnsi="Aptos"/>
                <w:b w:val="0"/>
                <w:color w:val="2A2A2A"/>
                <w:sz w:val="16"/>
              </w:rPr>
              <w:t>Zukunftsfähigkeit der Cashflows</w:t>
            </w:r>
          </w:p>
        </w:tc>
      </w:tr>
    </w:tbl>
    <w:p>
      <w:pPr>
        <w:pStyle w:val="Heading1"/>
      </w:pPr>
      <w:r>
        <w:t>Regulatorische Landkarte: von Bericht zu Kapitalzugang</w:t>
      </w:r>
    </w:p>
    <w:p>
      <w:pPr>
        <w:spacing w:after="120" w:line="264" w:lineRule="auto"/>
      </w:pPr>
      <w:r>
        <w:t>Die heutige Regulierung erzeugt bereits eine Kette: Unternehmen berichten Nachhaltigkeits- und Risikodaten; Banken und Investoren nutzen diese Daten für Risikoeinschätzung; Versicherungen prüfen Schäden und Expositionen; Aufsichtsbehörden verlangen Prozesse und Stresstests. Die WÖk ergänzt diese Kette um die Frage der positiven Netto-Wirkung und der Rückkopplung in Kapitalbedingungen.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2268"/>
            <w:shd w:fill="0B1020"/>
            <w:vAlign w:val="center"/>
          </w:tcPr>
          <w:p>
            <w:r/>
            <w:r>
              <w:rPr>
                <w:rFonts w:ascii="Aptos" w:hAnsi="Aptos"/>
                <w:b/>
                <w:color w:val="FFFFFF"/>
                <w:sz w:val="16"/>
              </w:rPr>
              <w:t>Regel-/Datenbereich</w:t>
            </w:r>
          </w:p>
        </w:tc>
        <w:tc>
          <w:tcPr>
            <w:tcW w:type="dxa" w:w="2835"/>
            <w:shd w:fill="0B1020"/>
            <w:vAlign w:val="center"/>
          </w:tcPr>
          <w:p>
            <w:r/>
            <w:r>
              <w:rPr>
                <w:rFonts w:ascii="Aptos" w:hAnsi="Aptos"/>
                <w:b/>
                <w:color w:val="FFFFFF"/>
                <w:sz w:val="16"/>
              </w:rPr>
              <w:t>heutige Funktion</w:t>
            </w:r>
          </w:p>
        </w:tc>
        <w:tc>
          <w:tcPr>
            <w:tcW w:type="dxa" w:w="3402"/>
            <w:shd w:fill="0B1020"/>
            <w:vAlign w:val="center"/>
          </w:tcPr>
          <w:p>
            <w:r/>
            <w:r>
              <w:rPr>
                <w:rFonts w:ascii="Aptos" w:hAnsi="Aptos"/>
                <w:b/>
                <w:color w:val="FFFFFF"/>
                <w:sz w:val="16"/>
              </w:rPr>
              <w:t>WÖk-Fortschreibung</w:t>
            </w:r>
          </w:p>
        </w:tc>
      </w:tr>
      <w:tr>
        <w:tc>
          <w:tcPr>
            <w:tcW w:type="dxa" w:w="2268"/>
            <w:vAlign w:val="top"/>
          </w:tcPr>
          <w:p>
            <w:r/>
            <w:r>
              <w:rPr>
                <w:rFonts w:ascii="Aptos" w:hAnsi="Aptos"/>
                <w:b w:val="0"/>
                <w:color w:val="2A2A2A"/>
                <w:sz w:val="16"/>
              </w:rPr>
              <w:t>CSRD/ESRS</w:t>
            </w:r>
          </w:p>
        </w:tc>
        <w:tc>
          <w:tcPr>
            <w:tcW w:type="dxa" w:w="2835"/>
            <w:vAlign w:val="top"/>
          </w:tcPr>
          <w:p>
            <w:r/>
            <w:r>
              <w:rPr>
                <w:rFonts w:ascii="Aptos" w:hAnsi="Aptos"/>
                <w:b w:val="0"/>
                <w:color w:val="2A2A2A"/>
                <w:sz w:val="16"/>
              </w:rPr>
              <w:t>Bericht über Risiken, Chancen und Wirkungen</w:t>
            </w:r>
          </w:p>
        </w:tc>
        <w:tc>
          <w:tcPr>
            <w:tcW w:type="dxa" w:w="3402"/>
            <w:vAlign w:val="top"/>
          </w:tcPr>
          <w:p>
            <w:r/>
            <w:r>
              <w:rPr>
                <w:rFonts w:ascii="Aptos" w:hAnsi="Aptos"/>
                <w:b w:val="0"/>
                <w:color w:val="2A2A2A"/>
                <w:sz w:val="16"/>
              </w:rPr>
              <w:t>Datenbasis für Wirkungskredite, Fonds, Scorecards</w:t>
            </w:r>
          </w:p>
        </w:tc>
      </w:tr>
      <w:tr>
        <w:tc>
          <w:tcPr>
            <w:tcW w:type="dxa" w:w="2268"/>
            <w:vAlign w:val="top"/>
          </w:tcPr>
          <w:p>
            <w:r/>
            <w:r>
              <w:rPr>
                <w:rFonts w:ascii="Aptos" w:hAnsi="Aptos"/>
                <w:b w:val="0"/>
                <w:color w:val="2A2A2A"/>
                <w:sz w:val="16"/>
              </w:rPr>
              <w:t>EU-Taxonomie</w:t>
            </w:r>
          </w:p>
        </w:tc>
        <w:tc>
          <w:tcPr>
            <w:tcW w:type="dxa" w:w="2835"/>
            <w:vAlign w:val="top"/>
          </w:tcPr>
          <w:p>
            <w:r/>
            <w:r>
              <w:rPr>
                <w:rFonts w:ascii="Aptos" w:hAnsi="Aptos"/>
                <w:b w:val="0"/>
                <w:color w:val="2A2A2A"/>
                <w:sz w:val="16"/>
              </w:rPr>
              <w:t>Klassifikation nachhaltiger Aktivitäten</w:t>
            </w:r>
          </w:p>
        </w:tc>
        <w:tc>
          <w:tcPr>
            <w:tcW w:type="dxa" w:w="3402"/>
            <w:vAlign w:val="top"/>
          </w:tcPr>
          <w:p>
            <w:r/>
            <w:r>
              <w:rPr>
                <w:rFonts w:ascii="Aptos" w:hAnsi="Aptos"/>
                <w:b w:val="0"/>
                <w:color w:val="2A2A2A"/>
                <w:sz w:val="16"/>
              </w:rPr>
              <w:t>Anschluss für Kriterien, aber ergänzt um MPD und SDG+</w:t>
            </w:r>
          </w:p>
        </w:tc>
      </w:tr>
      <w:tr>
        <w:tc>
          <w:tcPr>
            <w:tcW w:type="dxa" w:w="2268"/>
            <w:vAlign w:val="top"/>
          </w:tcPr>
          <w:p>
            <w:r/>
            <w:r>
              <w:rPr>
                <w:rFonts w:ascii="Aptos" w:hAnsi="Aptos"/>
                <w:b w:val="0"/>
                <w:color w:val="2A2A2A"/>
                <w:sz w:val="16"/>
              </w:rPr>
              <w:t>EBA ESG-Risiken</w:t>
            </w:r>
          </w:p>
        </w:tc>
        <w:tc>
          <w:tcPr>
            <w:tcW w:type="dxa" w:w="2835"/>
            <w:vAlign w:val="top"/>
          </w:tcPr>
          <w:p>
            <w:r/>
            <w:r>
              <w:rPr>
                <w:rFonts w:ascii="Aptos" w:hAnsi="Aptos"/>
                <w:b w:val="0"/>
                <w:color w:val="2A2A2A"/>
                <w:sz w:val="16"/>
              </w:rPr>
              <w:t>Banken müssen ESG-Risiken identifizieren, messen, steuern und überwachen</w:t>
            </w:r>
          </w:p>
        </w:tc>
        <w:tc>
          <w:tcPr>
            <w:tcW w:type="dxa" w:w="3402"/>
            <w:vAlign w:val="top"/>
          </w:tcPr>
          <w:p>
            <w:r/>
            <w:r>
              <w:rPr>
                <w:rFonts w:ascii="Aptos" w:hAnsi="Aptos"/>
                <w:b w:val="0"/>
                <w:color w:val="2A2A2A"/>
                <w:sz w:val="16"/>
              </w:rPr>
              <w:t>Wirkungskreditlogik und Transformationspfade</w:t>
            </w:r>
          </w:p>
        </w:tc>
      </w:tr>
      <w:tr>
        <w:tc>
          <w:tcPr>
            <w:tcW w:type="dxa" w:w="2268"/>
            <w:vAlign w:val="top"/>
          </w:tcPr>
          <w:p>
            <w:r/>
            <w:r>
              <w:rPr>
                <w:rFonts w:ascii="Aptos" w:hAnsi="Aptos"/>
                <w:b w:val="0"/>
                <w:color w:val="2A2A2A"/>
                <w:sz w:val="16"/>
              </w:rPr>
              <w:t>EIOPA Sustainable Finance</w:t>
            </w:r>
          </w:p>
        </w:tc>
        <w:tc>
          <w:tcPr>
            <w:tcW w:type="dxa" w:w="2835"/>
            <w:vAlign w:val="top"/>
          </w:tcPr>
          <w:p>
            <w:r/>
            <w:r>
              <w:rPr>
                <w:rFonts w:ascii="Aptos" w:hAnsi="Aptos"/>
                <w:b w:val="0"/>
                <w:color w:val="2A2A2A"/>
                <w:sz w:val="16"/>
              </w:rPr>
              <w:t>Versicherer und Pensionen managen Nachhaltigkeitsrisiken und Schutzlücken</w:t>
            </w:r>
          </w:p>
        </w:tc>
        <w:tc>
          <w:tcPr>
            <w:tcW w:type="dxa" w:w="3402"/>
            <w:vAlign w:val="top"/>
          </w:tcPr>
          <w:p>
            <w:r/>
            <w:r>
              <w:rPr>
                <w:rFonts w:ascii="Aptos" w:hAnsi="Aptos"/>
                <w:b w:val="0"/>
                <w:color w:val="2A2A2A"/>
                <w:sz w:val="16"/>
              </w:rPr>
              <w:t>Versicherbarkeit als Wirklichkeitsprüfung</w:t>
            </w:r>
          </w:p>
        </w:tc>
      </w:tr>
      <w:tr>
        <w:tc>
          <w:tcPr>
            <w:tcW w:type="dxa" w:w="2268"/>
            <w:vAlign w:val="top"/>
          </w:tcPr>
          <w:p>
            <w:r/>
            <w:r>
              <w:rPr>
                <w:rFonts w:ascii="Aptos" w:hAnsi="Aptos"/>
                <w:b w:val="0"/>
                <w:color w:val="2A2A2A"/>
                <w:sz w:val="16"/>
              </w:rPr>
              <w:t>DPP/Datenräume</w:t>
            </w:r>
          </w:p>
        </w:tc>
        <w:tc>
          <w:tcPr>
            <w:tcW w:type="dxa" w:w="2835"/>
            <w:vAlign w:val="top"/>
          </w:tcPr>
          <w:p>
            <w:r/>
            <w:r>
              <w:rPr>
                <w:rFonts w:ascii="Aptos" w:hAnsi="Aptos"/>
                <w:b w:val="0"/>
                <w:color w:val="2A2A2A"/>
                <w:sz w:val="16"/>
              </w:rPr>
              <w:t>Produkt- und Materialdaten</w:t>
            </w:r>
          </w:p>
        </w:tc>
        <w:tc>
          <w:tcPr>
            <w:tcW w:type="dxa" w:w="3402"/>
            <w:vAlign w:val="top"/>
          </w:tcPr>
          <w:p>
            <w:r/>
            <w:r>
              <w:rPr>
                <w:rFonts w:ascii="Aptos" w:hAnsi="Aptos"/>
                <w:b w:val="0"/>
                <w:color w:val="2A2A2A"/>
                <w:sz w:val="16"/>
              </w:rPr>
              <w:t>Kapitalzugang nach Produkt- und Lieferkettenwirkung</w:t>
            </w:r>
          </w:p>
        </w:tc>
      </w:tr>
    </w:tbl>
    <w:p>
      <w:pPr>
        <w:pStyle w:val="Heading1"/>
      </w:pPr>
      <w:r>
        <w:t>Politische Anschlussfähigkeit und Umsetzungsoptionen</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2268"/>
            <w:shd w:fill="0B1020"/>
            <w:vAlign w:val="center"/>
          </w:tcPr>
          <w:p>
            <w:r/>
            <w:r>
              <w:rPr>
                <w:rFonts w:ascii="Aptos" w:hAnsi="Aptos"/>
                <w:b/>
                <w:color w:val="FFFFFF"/>
                <w:sz w:val="16"/>
              </w:rPr>
              <w:t>Ebene</w:t>
            </w:r>
          </w:p>
        </w:tc>
        <w:tc>
          <w:tcPr>
            <w:tcW w:type="dxa" w:w="5669"/>
            <w:shd w:fill="0B1020"/>
            <w:vAlign w:val="center"/>
          </w:tcPr>
          <w:p>
            <w:r/>
            <w:r>
              <w:rPr>
                <w:rFonts w:ascii="Aptos" w:hAnsi="Aptos"/>
                <w:b/>
                <w:color w:val="FFFFFF"/>
                <w:sz w:val="16"/>
              </w:rPr>
              <w:t>Politische Aufgabe</w:t>
            </w:r>
          </w:p>
        </w:tc>
      </w:tr>
      <w:tr>
        <w:tc>
          <w:tcPr>
            <w:tcW w:type="dxa" w:w="2268"/>
            <w:vAlign w:val="top"/>
          </w:tcPr>
          <w:p>
            <w:r/>
            <w:r>
              <w:rPr>
                <w:rFonts w:ascii="Aptos" w:hAnsi="Aptos"/>
                <w:b w:val="0"/>
                <w:color w:val="2A2A2A"/>
                <w:sz w:val="16"/>
              </w:rPr>
              <w:t>Aufgabe der Politik</w:t>
            </w:r>
          </w:p>
        </w:tc>
        <w:tc>
          <w:tcPr>
            <w:tcW w:type="dxa" w:w="5669"/>
            <w:vAlign w:val="top"/>
          </w:tcPr>
          <w:p>
            <w:r/>
            <w:r>
              <w:rPr>
                <w:rFonts w:ascii="Aptos" w:hAnsi="Aptos"/>
                <w:b w:val="0"/>
                <w:color w:val="2A2A2A"/>
                <w:sz w:val="16"/>
              </w:rPr>
              <w:t>Rahmen schaffen, in dem Kapital positive Netto-Wirkung ermöglicht, ohne demokratische Entscheidung durch Kennzahlen zu ersetzen.</w:t>
            </w:r>
          </w:p>
        </w:tc>
      </w:tr>
      <w:tr>
        <w:tc>
          <w:tcPr>
            <w:tcW w:type="dxa" w:w="2268"/>
            <w:vAlign w:val="top"/>
          </w:tcPr>
          <w:p>
            <w:r/>
            <w:r>
              <w:rPr>
                <w:rFonts w:ascii="Aptos" w:hAnsi="Aptos"/>
                <w:b w:val="0"/>
                <w:color w:val="2A2A2A"/>
                <w:sz w:val="16"/>
              </w:rPr>
              <w:t>Ausgestaltungsspielraum</w:t>
            </w:r>
          </w:p>
        </w:tc>
        <w:tc>
          <w:tcPr>
            <w:tcW w:type="dxa" w:w="5669"/>
            <w:vAlign w:val="top"/>
          </w:tcPr>
          <w:p>
            <w:r/>
            <w:r>
              <w:rPr>
                <w:rFonts w:ascii="Aptos" w:hAnsi="Aptos"/>
                <w:b w:val="0"/>
                <w:color w:val="2A2A2A"/>
                <w:sz w:val="16"/>
              </w:rPr>
              <w:t>Parteien können Tempo, Verbindlichkeit, Förderquoten, Steuerlogik, öffentliche Fonds und private Kapitalmobilisierung unterschiedlich gewichten.</w:t>
            </w:r>
          </w:p>
        </w:tc>
      </w:tr>
      <w:tr>
        <w:tc>
          <w:tcPr>
            <w:tcW w:type="dxa" w:w="2268"/>
            <w:vAlign w:val="top"/>
          </w:tcPr>
          <w:p>
            <w:r/>
            <w:r>
              <w:rPr>
                <w:rFonts w:ascii="Aptos" w:hAnsi="Aptos"/>
                <w:b w:val="0"/>
                <w:color w:val="2A2A2A"/>
                <w:sz w:val="16"/>
              </w:rPr>
              <w:t>Zielkonflikte</w:t>
            </w:r>
          </w:p>
        </w:tc>
        <w:tc>
          <w:tcPr>
            <w:tcW w:type="dxa" w:w="5669"/>
            <w:vAlign w:val="top"/>
          </w:tcPr>
          <w:p>
            <w:r/>
            <w:r>
              <w:rPr>
                <w:rFonts w:ascii="Aptos" w:hAnsi="Aptos"/>
                <w:b w:val="0"/>
                <w:color w:val="2A2A2A"/>
                <w:sz w:val="16"/>
              </w:rPr>
              <w:t>Innovation vs. Sicherheit, Kapitalfreiheit vs. Missbrauchsschutz, Datenschutz vs. Transparenz, Bürokratiearmut vs. Prüfbarkeit.</w:t>
            </w:r>
          </w:p>
        </w:tc>
      </w:tr>
      <w:tr>
        <w:tc>
          <w:tcPr>
            <w:tcW w:type="dxa" w:w="2268"/>
            <w:vAlign w:val="top"/>
          </w:tcPr>
          <w:p>
            <w:r/>
            <w:r>
              <w:rPr>
                <w:rFonts w:ascii="Aptos" w:hAnsi="Aptos"/>
                <w:b w:val="0"/>
                <w:color w:val="2A2A2A"/>
                <w:sz w:val="16"/>
              </w:rPr>
              <w:t>Schutz vor Technokratie</w:t>
            </w:r>
          </w:p>
        </w:tc>
        <w:tc>
          <w:tcPr>
            <w:tcW w:type="dxa" w:w="5669"/>
            <w:vAlign w:val="top"/>
          </w:tcPr>
          <w:p>
            <w:r/>
            <w:r>
              <w:rPr>
                <w:rFonts w:ascii="Aptos" w:hAnsi="Aptos"/>
                <w:b w:val="0"/>
                <w:color w:val="2A2A2A"/>
                <w:sz w:val="16"/>
              </w:rPr>
              <w:t>Wirkungsdaten bereiten Entscheidungen vor. Die normative Entscheidung bleibt parlamentarisch, rechtsstaatlich und öffentlich korrigierbar.</w:t>
            </w:r>
          </w:p>
        </w:tc>
      </w:tr>
      <w:tr>
        <w:tc>
          <w:tcPr>
            <w:tcW w:type="dxa" w:w="2268"/>
            <w:vAlign w:val="top"/>
          </w:tcPr>
          <w:p>
            <w:r/>
            <w:r>
              <w:rPr>
                <w:rFonts w:ascii="Aptos" w:hAnsi="Aptos"/>
                <w:b w:val="0"/>
                <w:color w:val="2A2A2A"/>
                <w:sz w:val="16"/>
              </w:rPr>
              <w:t>Evaluation</w:t>
            </w:r>
          </w:p>
        </w:tc>
        <w:tc>
          <w:tcPr>
            <w:tcW w:type="dxa" w:w="5669"/>
            <w:vAlign w:val="top"/>
          </w:tcPr>
          <w:p>
            <w:r/>
            <w:r>
              <w:rPr>
                <w:rFonts w:ascii="Aptos" w:hAnsi="Aptos"/>
                <w:b w:val="0"/>
                <w:color w:val="2A2A2A"/>
                <w:sz w:val="16"/>
              </w:rPr>
              <w:t>Wirkungsrat, öffentliche Konsultation, Revisionszyklen, unabhängige Assurance und Beschwerdewege.</w:t>
            </w:r>
          </w:p>
        </w:tc>
      </w:tr>
    </w:tbl>
    <w:p>
      <w:pPr>
        <w:pStyle w:val="Heading1"/>
      </w:pPr>
      <w:r>
        <w:t>Website- und Portalintegration</w:t>
      </w:r>
    </w:p>
    <w:p>
      <w:pPr>
        <w:spacing w:after="120" w:line="264" w:lineRule="auto"/>
      </w:pPr>
      <w:r>
        <w:t>Dieses Detailkonzept gehört in das Portal Finanzsystem &amp; Kapital unter „Portfolio-Wirkungsrating, Banken, Versicherungen und Kapitalzugang“. Es sollte mit den Unternehmensdetailkonzepten zu Risikomanagement, Finanzmarktanforderungen, Bilanz/Finanzkommunikation sowie mit den Portalen Wohnen, Klima, Gesundheit, Arbeit und Rente verlinkt werden.</w:t>
      </w:r>
    </w:p>
    <w:p>
      <w:pPr>
        <w:spacing w:after="120" w:line="264" w:lineRule="auto"/>
      </w:pPr>
      <w:r>
        <w:t>Toolkarten: Portfolio-Wirkungsrating, Wirkungskredit-Rechner, Versicherbarkeits-/Resilienzcheck, KMU-Datencheck, ESG-zu-WÖk-Mapping.</w:t>
      </w:r>
    </w:p>
    <w:p>
      <w:pPr>
        <w:pStyle w:val="Heading1"/>
      </w:pPr>
      <w:r>
        <w:t>Quellen und Anschlussdokumente</w:t>
      </w:r>
    </w:p>
    <w:p>
      <w:pPr>
        <w:spacing w:after="120" w:line="264" w:lineRule="auto"/>
      </w:pPr>
      <w:r>
        <w:t>European Commission: EU taxonomy for sustainable activities, https://finance.ec.europa.eu/sustainable-finance/tools-and-standards/eu-taxonomy-sustainable-activities_en</w:t>
      </w:r>
    </w:p>
    <w:p>
      <w:pPr>
        <w:spacing w:after="120" w:line="264" w:lineRule="auto"/>
      </w:pPr>
      <w:r>
        <w:t>European Commission: Corporate sustainability reporting / CSRD, https://finance.ec.europa.eu/financial-markets/company-reporting-and-auditing/company-reporting/corporate-sustainability-reporting_en</w:t>
      </w:r>
    </w:p>
    <w:p>
      <w:pPr>
        <w:spacing w:after="120" w:line="264" w:lineRule="auto"/>
      </w:pPr>
      <w:r>
        <w:t>European Banking Authority: Guidelines on the management of ESG risks, https://www.eba.europa.eu/activities/single-rulebook/regulatory-activities/sustainable-finance/guidelines-management-esg-risks</w:t>
      </w:r>
    </w:p>
    <w:p>
      <w:pPr>
        <w:spacing w:after="120" w:line="264" w:lineRule="auto"/>
      </w:pPr>
      <w:r>
        <w:t>EIOPA: Sustainable finance, https://www.eiopa.europa.eu/browse/sustainable-finance_en</w:t>
      </w:r>
    </w:p>
    <w:p>
      <w:pPr>
        <w:spacing w:after="120" w:line="264" w:lineRule="auto"/>
      </w:pPr>
      <w:r>
        <w:t>Wirkungsökonomie: Technische Leitlinien zum WUStG, WÖk-ID-Master Items, WStG, Systemmodell und Die neue Ordnung des Wohlstands.</w:t>
      </w:r>
    </w:p>
    <w:p>
      <w:pPr>
        <w:pStyle w:val="Heading1"/>
      </w:pPr>
      <w:r>
        <w:t>Fazit</w:t>
      </w:r>
    </w:p>
    <w:p>
      <w:pPr>
        <w:spacing w:after="120" w:line="264" w:lineRule="auto"/>
      </w:pPr>
      <w:r>
        <w:t>Banken und Versicherungen sind in der Wirkungsökonomie nicht bloß Dienstleister, sondern Rückkopplungsakteure. Sie können Risiken weiter verdecken oder sichtbar machen. Sie können destruktive Pfade verlängern oder Transformation finanzierbar machen. Kapitalzugang wird damit zu einer der wichtigsten Stellschrauben für positive Netto-Wirkung.</w:t>
      </w:r>
    </w:p>
    <w:sectPr w:rsidR="00FC693F" w:rsidRPr="0006063C" w:rsidSect="00034616">
      <w:headerReference w:type="default" r:id="rId9"/>
      <w:footerReference w:type="default" r:id="rId10"/>
      <w:pgSz w:w="12240" w:h="15840"/>
      <w:pgMar w:top="907"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 2026 Natalie Weber · Wirkungsökonomie · öffentliche Arbeitsfassung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color w:val="2F7D5C"/>
        <w:sz w:val="16"/>
      </w:rPr>
      <w:t>WIRKUNGSÖKONOMIE · FINANZSYSTEM &amp; KAPITAL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2A2A2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02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02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2F7D5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b/>
      <w:color w:val="0B102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