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0" w:line="259" w:lineRule="auto"/>
      </w:pPr>
      <w:r>
        <w:rPr>
          <w:rFonts w:ascii="Georgia" w:hAnsi="Georgia" w:eastAsia="Georgia"/>
          <w:b/>
          <w:i w:val="0"/>
          <w:color w:val="0B1020"/>
          <w:sz w:val="48"/>
        </w:rPr>
        <w:t>WIRKUNGSÖKONOMIE</w:t>
      </w:r>
    </w:p>
    <w:p>
      <w:pPr>
        <w:spacing w:after="160" w:before="0" w:line="259" w:lineRule="auto"/>
      </w:pPr>
      <w:r>
        <w:rPr>
          <w:rFonts w:ascii="Arial" w:hAnsi="Arial" w:eastAsia="Arial"/>
          <w:b/>
          <w:i w:val="0"/>
          <w:color w:val="2F7D5C"/>
          <w:sz w:val="20"/>
        </w:rPr>
        <w:t>DETAILKONZEPT</w:t>
      </w:r>
    </w:p>
    <w:p>
      <w:pPr>
        <w:spacing w:after="60" w:before="0" w:line="259" w:lineRule="auto"/>
      </w:pPr>
      <w:r>
        <w:rPr>
          <w:rFonts w:ascii="Georgia" w:hAnsi="Georgia" w:eastAsia="Georgia"/>
          <w:b/>
          <w:i w:val="0"/>
          <w:color w:val="0B1020"/>
          <w:sz w:val="44"/>
        </w:rPr>
        <w:t>ESG-Ratings, Börsen und Impact Exchange</w:t>
      </w:r>
    </w:p>
    <w:p>
      <w:pPr>
        <w:spacing w:after="280" w:before="0" w:line="259" w:lineRule="auto"/>
      </w:pPr>
      <w:r>
        <w:rPr>
          <w:rFonts w:ascii="Arial" w:hAnsi="Arial" w:eastAsia="Arial"/>
          <w:b w:val="0"/>
          <w:i w:val="0"/>
          <w:color w:val="23242C"/>
          <w:sz w:val="24"/>
        </w:rPr>
        <w:t>Von Nachhaltigkeitsratings zu Kapitalwirkung, Markttransparenz und wirkungsorientierten Handelsplätzen</w:t>
      </w:r>
    </w:p>
    <w:tbl>
      <w:tblPr>
        <w:tblW w:type="auto" w:w="0"/>
        <w:tblLook w:firstColumn="1" w:firstRow="1" w:lastColumn="0" w:lastRow="0" w:noHBand="0" w:noVBand="1" w:val="04A0"/>
      </w:tblPr>
      <w:tblGrid>
        <w:gridCol w:w="10080"/>
      </w:tblGrid>
      <w:tr>
        <w:tc>
          <w:tcPr>
            <w:tcW w:type="dxa" w:w="10080"/>
            <w:shd w:fill="F6F1E8"/>
            <w:tcBorders>
              <w:top w:val="single" w:sz="6" w:space="0" w:color="D9D2C3"/>
              <w:left w:val="single" w:sz="6" w:space="0" w:color="D9D2C3"/>
              <w:bottom w:val="single" w:sz="6" w:space="0" w:color="D9D2C3"/>
              <w:right w:val="single" w:sz="6" w:space="0" w:color="D9D2C3"/>
            </w:tcBorders>
          </w:tcPr>
          <w:p>
            <w:pPr>
              <w:jc w:val="center"/>
            </w:pPr>
            <w:r>
              <w:rPr>
                <w:rFonts w:ascii="Georgia" w:hAnsi="Georgia" w:eastAsia="Georgia"/>
                <w:b w:val="0"/>
                <w:i/>
                <w:color w:val="0B1020"/>
                <w:sz w:val="26"/>
              </w:rPr>
              <w:t>„Ratings dürfen Kapital nicht beruhigen. Sie müssen Wirkung sichtbar und überprüfbar machen.“</w:t>
            </w:r>
          </w:p>
        </w:tc>
      </w:tr>
    </w:tbl>
    <w:p/>
    <w:tbl>
      <w:tblPr>
        <w:tblStyle w:val="TableGrid"/>
        <w:tblW w:type="auto" w:w="0"/>
        <w:jc w:val="center"/>
        <w:tblLook w:firstColumn="1" w:firstRow="1" w:lastColumn="0" w:lastRow="0" w:noHBand="0" w:noVBand="1" w:val="04A0"/>
      </w:tblPr>
      <w:tblGrid>
        <w:gridCol w:w="5040"/>
        <w:gridCol w:w="5040"/>
      </w:tblGrid>
      <w:tr>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Metadatum</w:t>
            </w:r>
          </w:p>
        </w:tc>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Angabe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Autorin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Natalie Weber</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Referenz</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Wirkungsökonomie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Version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v1.0</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Status</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öffentliche Ausarbeitung</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Stand</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24. Mai 2026</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Portal</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Finanzsystem &amp; Kapital</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Hinweis</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Konzeptionelle Arbeitsfassung; keine Rechts-, Steuer-, Anlage-, Versicherungs- oder Finanzberatung</w:t>
            </w:r>
          </w:p>
        </w:tc>
      </w:tr>
    </w:tbl>
    <w:p>
      <w:pPr>
        <w:spacing w:after="40"/>
      </w:pPr>
    </w:p>
    <w:p>
      <w:pPr>
        <w:spacing w:before="200" w:after="80"/>
      </w:pPr>
      <w:r>
        <w:rPr>
          <w:rFonts w:ascii="Georgia" w:hAnsi="Georgia" w:eastAsia="Georgia"/>
          <w:b/>
          <w:i w:val="0"/>
          <w:color w:val="0B1020"/>
          <w:sz w:val="40"/>
        </w:rPr>
        <w:t>Kurzprofil</w:t>
      </w:r>
    </w:p>
    <w:tbl>
      <w:tblPr>
        <w:tblStyle w:val="TableGrid"/>
        <w:tblW w:type="auto" w:w="0"/>
        <w:jc w:val="center"/>
        <w:tblLook w:firstColumn="1" w:firstRow="1" w:lastColumn="0" w:lastRow="0" w:noHBand="0" w:noVBand="1" w:val="04A0"/>
      </w:tblPr>
      <w:tblGrid>
        <w:gridCol w:w="5040"/>
        <w:gridCol w:w="5040"/>
      </w:tblGrid>
      <w:tr>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Metadatum</w:t>
            </w:r>
          </w:p>
        </w:tc>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Angabe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Dokumenttyp</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Öffentliches Detailkonzept</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Zugehöriges Portal</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Finanzsystem &amp; Kapital</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Unterbereich</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ESG-Ratings, Börsen und Impact Exchange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Autorin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Natalie Weber · Wirkungsökonomie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Öffentlichkeit</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Enthält keine internen CodeX-/Repository-Anweisungen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Hinweis</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Konzeptionelle Arbeitsfassung; keine Rechts-, Steuer-, Anlage-, Versicherungs- oder Finanzberatung</w:t>
            </w:r>
          </w:p>
        </w:tc>
      </w:tr>
    </w:tbl>
    <w:p>
      <w:pPr>
        <w:spacing w:after="40"/>
      </w:pPr>
    </w:p>
    <w:p>
      <w:pPr>
        <w:spacing w:before="200" w:after="80"/>
      </w:pPr>
      <w:r>
        <w:rPr>
          <w:rFonts w:ascii="Georgia" w:hAnsi="Georgia" w:eastAsia="Georgia"/>
          <w:b/>
          <w:i w:val="0"/>
          <w:color w:val="0B1020"/>
          <w:sz w:val="40"/>
        </w:rPr>
        <w:t>Inhaltsübersicht</w:t>
      </w:r>
    </w:p>
    <w:p>
      <w:pPr>
        <w:spacing w:after="40" w:before="0" w:line="259" w:lineRule="auto"/>
      </w:pPr>
      <w:r>
        <w:rPr>
          <w:rFonts w:ascii="Arial" w:hAnsi="Arial" w:eastAsia="Arial"/>
          <w:b w:val="0"/>
          <w:i w:val="0"/>
          <w:color w:val="23242C"/>
          <w:sz w:val="21"/>
        </w:rPr>
        <w:t>1. Executive Summary</w:t>
      </w:r>
    </w:p>
    <w:p>
      <w:pPr>
        <w:spacing w:after="40" w:before="0" w:line="259" w:lineRule="auto"/>
      </w:pPr>
      <w:r>
        <w:rPr>
          <w:rFonts w:ascii="Arial" w:hAnsi="Arial" w:eastAsia="Arial"/>
          <w:b w:val="0"/>
          <w:i w:val="0"/>
          <w:color w:val="23242C"/>
          <w:sz w:val="21"/>
        </w:rPr>
        <w:t>2. Ausgangsdiagnose</w:t>
      </w:r>
    </w:p>
    <w:p>
      <w:pPr>
        <w:spacing w:after="40" w:before="0" w:line="259" w:lineRule="auto"/>
      </w:pPr>
      <w:r>
        <w:rPr>
          <w:rFonts w:ascii="Arial" w:hAnsi="Arial" w:eastAsia="Arial"/>
          <w:b w:val="0"/>
          <w:i w:val="0"/>
          <w:color w:val="23242C"/>
          <w:sz w:val="21"/>
        </w:rPr>
        <w:t>3. ESG, Impact und WÖk-Rating</w:t>
      </w:r>
    </w:p>
    <w:p>
      <w:pPr>
        <w:spacing w:after="40" w:before="0" w:line="259" w:lineRule="auto"/>
      </w:pPr>
      <w:r>
        <w:rPr>
          <w:rFonts w:ascii="Arial" w:hAnsi="Arial" w:eastAsia="Arial"/>
          <w:b w:val="0"/>
          <w:i w:val="0"/>
          <w:color w:val="23242C"/>
          <w:sz w:val="21"/>
        </w:rPr>
        <w:t>4. Akteursgruppen</w:t>
      </w:r>
    </w:p>
    <w:p>
      <w:pPr>
        <w:spacing w:after="40" w:before="0" w:line="259" w:lineRule="auto"/>
      </w:pPr>
      <w:r>
        <w:rPr>
          <w:rFonts w:ascii="Arial" w:hAnsi="Arial" w:eastAsia="Arial"/>
          <w:b w:val="0"/>
          <w:i w:val="0"/>
          <w:color w:val="23242C"/>
          <w:sz w:val="21"/>
        </w:rPr>
        <w:t>5. Schwachstellen heutiger Ratings</w:t>
      </w:r>
    </w:p>
    <w:p>
      <w:pPr>
        <w:spacing w:after="40" w:before="0" w:line="259" w:lineRule="auto"/>
      </w:pPr>
      <w:r>
        <w:rPr>
          <w:rFonts w:ascii="Arial" w:hAnsi="Arial" w:eastAsia="Arial"/>
          <w:b w:val="0"/>
          <w:i w:val="0"/>
          <w:color w:val="23242C"/>
          <w:sz w:val="21"/>
        </w:rPr>
        <w:t>6. WÖk-Perspektive: Kapitalwirkung</w:t>
      </w:r>
    </w:p>
    <w:p>
      <w:pPr>
        <w:spacing w:after="40" w:before="0" w:line="259" w:lineRule="auto"/>
      </w:pPr>
      <w:r>
        <w:rPr>
          <w:rFonts w:ascii="Arial" w:hAnsi="Arial" w:eastAsia="Arial"/>
          <w:b w:val="0"/>
          <w:i w:val="0"/>
          <w:color w:val="23242C"/>
          <w:sz w:val="21"/>
        </w:rPr>
        <w:t>7. Börsen und Impact Exchange</w:t>
      </w:r>
    </w:p>
    <w:p>
      <w:pPr>
        <w:spacing w:after="40" w:before="0" w:line="259" w:lineRule="auto"/>
      </w:pPr>
      <w:r>
        <w:rPr>
          <w:rFonts w:ascii="Arial" w:hAnsi="Arial" w:eastAsia="Arial"/>
          <w:b w:val="0"/>
          <w:i w:val="0"/>
          <w:color w:val="23242C"/>
          <w:sz w:val="21"/>
        </w:rPr>
        <w:t>8. Datenarchitektur</w:t>
      </w:r>
    </w:p>
    <w:p>
      <w:pPr>
        <w:spacing w:after="40" w:before="0" w:line="259" w:lineRule="auto"/>
      </w:pPr>
      <w:r>
        <w:rPr>
          <w:rFonts w:ascii="Arial" w:hAnsi="Arial" w:eastAsia="Arial"/>
          <w:b w:val="0"/>
          <w:i w:val="0"/>
          <w:color w:val="23242C"/>
          <w:sz w:val="21"/>
        </w:rPr>
        <w:t>9. Greenwashing und Rating-Arbitrage</w:t>
      </w:r>
    </w:p>
    <w:p>
      <w:pPr>
        <w:spacing w:after="40" w:before="0" w:line="259" w:lineRule="auto"/>
      </w:pPr>
      <w:r>
        <w:rPr>
          <w:rFonts w:ascii="Arial" w:hAnsi="Arial" w:eastAsia="Arial"/>
          <w:b w:val="0"/>
          <w:i w:val="0"/>
          <w:color w:val="23242C"/>
          <w:sz w:val="21"/>
        </w:rPr>
        <w:t>10. Tools und Praxis</w:t>
      </w:r>
    </w:p>
    <w:p>
      <w:pPr>
        <w:spacing w:after="40" w:before="0" w:line="259" w:lineRule="auto"/>
      </w:pPr>
      <w:r>
        <w:rPr>
          <w:rFonts w:ascii="Arial" w:hAnsi="Arial" w:eastAsia="Arial"/>
          <w:b w:val="0"/>
          <w:i w:val="0"/>
          <w:color w:val="23242C"/>
          <w:sz w:val="21"/>
        </w:rPr>
        <w:t>11. SDG-/SDG+-Bezug</w:t>
      </w:r>
    </w:p>
    <w:p>
      <w:pPr>
        <w:spacing w:after="40" w:before="0" w:line="259" w:lineRule="auto"/>
      </w:pPr>
      <w:r>
        <w:rPr>
          <w:rFonts w:ascii="Arial" w:hAnsi="Arial" w:eastAsia="Arial"/>
          <w:b w:val="0"/>
          <w:i w:val="0"/>
          <w:color w:val="23242C"/>
          <w:sz w:val="21"/>
        </w:rPr>
        <w:t>12. Politische Anschlussfähigkeit</w:t>
      </w:r>
    </w:p>
    <w:p>
      <w:pPr>
        <w:spacing w:after="40" w:before="0" w:line="259" w:lineRule="auto"/>
      </w:pPr>
      <w:r>
        <w:rPr>
          <w:rFonts w:ascii="Arial" w:hAnsi="Arial" w:eastAsia="Arial"/>
          <w:b w:val="0"/>
          <w:i w:val="0"/>
          <w:color w:val="23242C"/>
          <w:sz w:val="21"/>
        </w:rPr>
        <w:t>13. Website-Integration</w:t>
      </w:r>
    </w:p>
    <w:p>
      <w:pPr>
        <w:spacing w:after="40" w:before="0" w:line="259" w:lineRule="auto"/>
      </w:pPr>
      <w:r>
        <w:rPr>
          <w:rFonts w:ascii="Arial" w:hAnsi="Arial" w:eastAsia="Arial"/>
          <w:b w:val="0"/>
          <w:i w:val="0"/>
          <w:color w:val="23242C"/>
          <w:sz w:val="21"/>
        </w:rPr>
        <w:t>14. Quellen</w:t>
      </w:r>
    </w:p>
    <w:p>
      <w:pPr>
        <w:spacing w:after="40" w:before="0" w:line="259" w:lineRule="auto"/>
      </w:pPr>
      <w:r>
        <w:rPr>
          <w:rFonts w:ascii="Arial" w:hAnsi="Arial" w:eastAsia="Arial"/>
          <w:b w:val="0"/>
          <w:i w:val="0"/>
          <w:color w:val="23242C"/>
          <w:sz w:val="21"/>
        </w:rPr>
        <w:t>15. Fazit</w:t>
      </w:r>
    </w:p>
    <w:p>
      <w:pPr>
        <w:spacing w:before="200" w:after="80"/>
      </w:pPr>
      <w:r>
        <w:rPr>
          <w:rFonts w:ascii="Georgia" w:hAnsi="Georgia" w:eastAsia="Georgia"/>
          <w:b/>
          <w:i w:val="0"/>
          <w:color w:val="0B1020"/>
          <w:sz w:val="40"/>
        </w:rPr>
        <w:t>Executive Summary</w:t>
      </w:r>
    </w:p>
    <w:p>
      <w:pPr>
        <w:spacing w:after="100" w:before="0" w:line="259" w:lineRule="auto"/>
      </w:pPr>
      <w:r>
        <w:rPr>
          <w:rFonts w:ascii="Arial" w:hAnsi="Arial" w:eastAsia="Arial"/>
          <w:b w:val="0"/>
          <w:i w:val="0"/>
          <w:color w:val="23242C"/>
          <w:sz w:val="21"/>
        </w:rPr>
        <w:t>ESG-Ratings sind ein wichtiger Fortschritt, weil sie Umwelt-, Sozial- und Governance-Aspekte kapitalmarktfähig machen. Sie sind aber noch keine vollständige Wirkungsordnung. Viele ESG-Modelle bewerten Risiken für das Unternehmen, nicht die Wirkung des Unternehmens auf Mensch, Planet und Demokratie.</w:t>
      </w:r>
    </w:p>
    <w:p>
      <w:pPr>
        <w:spacing w:after="100" w:before="0" w:line="259" w:lineRule="auto"/>
      </w:pPr>
      <w:r>
        <w:rPr>
          <w:rFonts w:ascii="Arial" w:hAnsi="Arial" w:eastAsia="Arial"/>
          <w:b w:val="0"/>
          <w:i w:val="0"/>
          <w:color w:val="23242C"/>
          <w:sz w:val="21"/>
        </w:rPr>
        <w:t>Die Wirkungsökonomie nutzt ESG daher als Anschlussraum, nicht als Endpunkt. ESG liefert Daten, Vergleichbarkeit und Finanzmarktlogik. WÖk-Ratings ergänzen diese Logik um WÖk-IDs, Nichtkompensation, Netto-Wirkung, T-SROI und demokratisch überprüfbare Rückkopplung.</w:t>
      </w:r>
    </w:p>
    <w:p>
      <w:pPr>
        <w:spacing w:after="100" w:before="0" w:line="259" w:lineRule="auto"/>
      </w:pPr>
      <w:r>
        <w:rPr>
          <w:rFonts w:ascii="Arial" w:hAnsi="Arial" w:eastAsia="Arial"/>
          <w:b w:val="0"/>
          <w:i w:val="0"/>
          <w:color w:val="23242C"/>
          <w:sz w:val="21"/>
        </w:rPr>
        <w:t>Ein Impact Exchange wäre ein Börsen- oder Marktsegment, in dem Kapitalwirkung nicht nur berichtet, sondern preis-, zins-, index- und investitionsrelevant wird. Das Ziel ist kein grüner Nebenmarkt, sondern ein glaubwürdiges Marktinfrastruktursystem für Kapitalwirkung.</w:t>
      </w:r>
    </w:p>
    <w:p>
      <w:pPr>
        <w:spacing w:before="200" w:after="80"/>
      </w:pPr>
      <w:r>
        <w:rPr>
          <w:rFonts w:ascii="Georgia" w:hAnsi="Georgia" w:eastAsia="Georgia"/>
          <w:b/>
          <w:i w:val="0"/>
          <w:color w:val="0B1020"/>
          <w:sz w:val="40"/>
        </w:rPr>
        <w:t>Ausgangsdiagnose</w:t>
      </w:r>
    </w:p>
    <w:p>
      <w:pPr>
        <w:spacing w:after="100" w:before="0" w:line="259" w:lineRule="auto"/>
      </w:pPr>
      <w:r>
        <w:rPr>
          <w:rFonts w:ascii="Arial" w:hAnsi="Arial" w:eastAsia="Arial"/>
          <w:b w:val="0"/>
          <w:i w:val="0"/>
          <w:color w:val="23242C"/>
          <w:sz w:val="21"/>
        </w:rPr>
        <w:t>Heute können Unternehmen sehr gute ESG-Kommunikation aufbauen, während wesentliche Wirkungsrisiken im Kerngeschäft fortbestehen. Ratings sind zudem oft schwer vergleichbar, weil Anbieter unterschiedliche Methodiken, Gewichtungen und Datenquellen nutzen.</w:t>
      </w:r>
    </w:p>
    <w:p>
      <w:pPr>
        <w:spacing w:after="100" w:before="0" w:line="259" w:lineRule="auto"/>
      </w:pPr>
      <w:r>
        <w:rPr>
          <w:rFonts w:ascii="Arial" w:hAnsi="Arial" w:eastAsia="Arial"/>
          <w:b w:val="0"/>
          <w:i w:val="0"/>
          <w:color w:val="23242C"/>
          <w:sz w:val="21"/>
        </w:rPr>
        <w:t>Für Investor:innen ist das unbefriedigend: Sie erhalten eine Vielzahl von Scores, aber nicht immer eine klare Aussage darüber, ob das Kapital tatsächlich positive Netto-Wirkung erzeugt oder nur Risiken besser gemanagt werden.</w:t>
      </w:r>
    </w:p>
    <w:p>
      <w:pPr>
        <w:spacing w:after="100" w:before="0" w:line="259" w:lineRule="auto"/>
      </w:pPr>
      <w:r>
        <w:rPr>
          <w:rFonts w:ascii="Arial" w:hAnsi="Arial" w:eastAsia="Arial"/>
          <w:b w:val="0"/>
          <w:i w:val="0"/>
          <w:color w:val="23242C"/>
          <w:sz w:val="21"/>
        </w:rPr>
        <w:t>Wirkungsökonomisch ist die Kernfrage daher nicht: Wie nachhaltig erscheint ein Emittent? Sondern: Welche Zustandsveränderung ermöglicht dieses Kapital? Stabilisiert es Mensch, Planet und Demokratie - oder verlängert es destruktive Pfade?</w:t>
      </w:r>
    </w:p>
    <w:p>
      <w:pPr>
        <w:spacing w:before="200" w:after="80"/>
      </w:pPr>
      <w:r>
        <w:rPr>
          <w:rFonts w:ascii="Georgia" w:hAnsi="Georgia" w:eastAsia="Georgia"/>
          <w:b/>
          <w:i w:val="0"/>
          <w:color w:val="0B1020"/>
          <w:sz w:val="40"/>
        </w:rPr>
        <w:t>ESG, Impact und WÖk-Rating</w:t>
      </w:r>
    </w:p>
    <w:p>
      <w:pPr>
        <w:spacing w:after="100" w:before="0" w:line="259" w:lineRule="auto"/>
      </w:pPr>
      <w:r>
        <w:rPr>
          <w:rFonts w:ascii="Arial" w:hAnsi="Arial" w:eastAsia="Arial"/>
          <w:b w:val="0"/>
          <w:i w:val="0"/>
          <w:color w:val="23242C"/>
          <w:sz w:val="21"/>
        </w:rPr>
        <w:t>Ein ESG-Rating bewertet typischerweise Exposition, Governance, Risiko oder Performance in Umwelt-, Sozial- und Governance-Fragen. Ein Impact-Rating zielt stärker auf Wirkung, bleibt aber oft unscharf zwischen Absicht, Output, Outcome und tatsächlicher Zustandsveränderung.</w:t>
      </w:r>
    </w:p>
    <w:p>
      <w:pPr>
        <w:spacing w:after="100" w:before="0" w:line="259" w:lineRule="auto"/>
      </w:pPr>
      <w:r>
        <w:rPr>
          <w:rFonts w:ascii="Arial" w:hAnsi="Arial" w:eastAsia="Arial"/>
          <w:b w:val="0"/>
          <w:i w:val="0"/>
          <w:color w:val="23242C"/>
          <w:sz w:val="21"/>
        </w:rPr>
        <w:t>Ein WÖk-Rating ist enger: Es bewertet Wirkung als tatsächliche Veränderung von Zuständen am Referenzrahmen SDGs, Agenda 2030 und SDG+. Grundlage sind WÖk-IDs, Scorecards, NWI, rote Linien und T-SROI.</w:t>
      </w:r>
    </w:p>
    <w:p>
      <w:pPr>
        <w:spacing w:after="100" w:before="0" w:line="259" w:lineRule="auto"/>
      </w:pPr>
      <w:r>
        <w:rPr>
          <w:rFonts w:ascii="Arial" w:hAnsi="Arial" w:eastAsia="Arial"/>
          <w:b w:val="0"/>
          <w:i w:val="0"/>
          <w:color w:val="23242C"/>
          <w:sz w:val="21"/>
        </w:rPr>
        <w:t>Damit wird ein Unterschied sichtbar: ESG kann sagen, ob ein Unternehmen Nachhaltigkeitsrisiken gut managt. WÖk muss sagen, ob Kapitalwirkung in positiver Netto-Wirkung mündet.</w:t>
      </w:r>
    </w:p>
    <w:p>
      <w:pPr>
        <w:spacing w:before="200" w:after="80"/>
      </w:pPr>
      <w:r>
        <w:rPr>
          <w:rFonts w:ascii="Georgia" w:hAnsi="Georgia" w:eastAsia="Georgia"/>
          <w:b/>
          <w:i w:val="0"/>
          <w:color w:val="0B1020"/>
          <w:sz w:val="40"/>
        </w:rPr>
        <w:t>Akteursgruppen</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Akteur</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Interesse</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WÖk-Anschluss</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Ratinganbieter</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Methodik, Daten, Marktvertrauen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Transparenz, WÖk-Mapping, Interessenkonflikte</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Börsen/Indexanbieter</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Liquidität, Sichtbarkeit, Indexlogik</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Impact-Segmente, WÖk-Indizes, rote Linien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Unternehmen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Kapitalzugang und Reputation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CSRD-Daten in WÖk-Scorecards überführen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Banken/Investoren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Risiko und Rendite</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Kapitalwirkung, NWI, T-SROI</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Aufsicht/Politik</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Marktintegrität</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ESMA/EBA/EIOPA-Anschluss, Wirkungsrat</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Bürger:innen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Vorsorge, Vertrauen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verständliche Transparenz, keine Anlageberatung</w:t>
            </w:r>
          </w:p>
        </w:tc>
      </w:tr>
    </w:tbl>
    <w:p>
      <w:pPr>
        <w:spacing w:after="40"/>
      </w:pPr>
    </w:p>
    <w:p>
      <w:pPr>
        <w:spacing w:before="200" w:after="80"/>
      </w:pPr>
      <w:r>
        <w:rPr>
          <w:rFonts w:ascii="Georgia" w:hAnsi="Georgia" w:eastAsia="Georgia"/>
          <w:b/>
          <w:i w:val="0"/>
          <w:color w:val="0B1020"/>
          <w:sz w:val="40"/>
        </w:rPr>
        <w:t>Schwachstellen heutiger Ratings</w:t>
      </w:r>
    </w:p>
    <w:p>
      <w:pPr>
        <w:spacing w:after="100" w:before="0" w:line="259" w:lineRule="auto"/>
      </w:pPr>
      <w:r>
        <w:rPr>
          <w:rFonts w:ascii="Arial" w:hAnsi="Arial" w:eastAsia="Arial"/>
          <w:b w:val="0"/>
          <w:i w:val="0"/>
          <w:color w:val="23242C"/>
          <w:sz w:val="21"/>
        </w:rPr>
        <w:t>Die erste Schwachstelle ist Kompensation: Gute Governance kann schlechte Umweltwirkung ausgleichen, Diversitätsprogramme können ein destruktives Kerngeschäft glätten, und Transparenz kann negative Wirkung normalisieren.</w:t>
      </w:r>
    </w:p>
    <w:p>
      <w:pPr>
        <w:spacing w:after="100" w:before="0" w:line="259" w:lineRule="auto"/>
      </w:pPr>
      <w:r>
        <w:rPr>
          <w:rFonts w:ascii="Arial" w:hAnsi="Arial" w:eastAsia="Arial"/>
          <w:b w:val="0"/>
          <w:i w:val="0"/>
          <w:color w:val="23242C"/>
          <w:sz w:val="21"/>
        </w:rPr>
        <w:t>Die zweite Schwachstelle ist Rating-Arbitrage: Unternehmen optimieren nicht ihre Wirkung, sondern jene Kennzahlen, die in einem Ratingmodell besonders stark gewichtet sind.</w:t>
      </w:r>
    </w:p>
    <w:p>
      <w:pPr>
        <w:spacing w:after="100" w:before="0" w:line="259" w:lineRule="auto"/>
      </w:pPr>
      <w:r>
        <w:rPr>
          <w:rFonts w:ascii="Arial" w:hAnsi="Arial" w:eastAsia="Arial"/>
          <w:b w:val="0"/>
          <w:i w:val="0"/>
          <w:color w:val="23242C"/>
          <w:sz w:val="21"/>
        </w:rPr>
        <w:t>Die dritte Schwachstelle ist Datenungleichheit. Große Unternehmen sind berichtsstärker als kleine, aber Datenfähigkeit ist nicht automatisch Wirkung. Deshalb braucht die WÖk Datenqualitätsklassen, Schätzregeln, KMU-Standards und unabhängige Prüfung.</w:t>
      </w:r>
    </w:p>
    <w:p>
      <w:pPr>
        <w:spacing w:before="200" w:after="80"/>
      </w:pPr>
      <w:r>
        <w:rPr>
          <w:rFonts w:ascii="Georgia" w:hAnsi="Georgia" w:eastAsia="Georgia"/>
          <w:b/>
          <w:i w:val="0"/>
          <w:color w:val="0B1020"/>
          <w:sz w:val="40"/>
        </w:rPr>
        <w:t>WÖk-Perspektive: Kapitalwirkung</w:t>
      </w:r>
    </w:p>
    <w:p>
      <w:pPr>
        <w:spacing w:after="100" w:before="0" w:line="259" w:lineRule="auto"/>
      </w:pPr>
      <w:r>
        <w:rPr>
          <w:rFonts w:ascii="Arial" w:hAnsi="Arial" w:eastAsia="Arial"/>
          <w:b w:val="0"/>
          <w:i w:val="0"/>
          <w:color w:val="23242C"/>
          <w:sz w:val="21"/>
        </w:rPr>
        <w:t>Kapitalwirkung entsteht, wenn Investitionen, Kredite, Versicherungen oder Fonds reale Zustandsveränderungen ermöglichen. Das kann direkt im Unternehmen, indirekt über Lieferketten, systemisch über Standards oder politisch über Marktsignale geschehen.</w:t>
      </w:r>
    </w:p>
    <w:p>
      <w:pPr>
        <w:spacing w:after="100" w:before="0" w:line="259" w:lineRule="auto"/>
      </w:pPr>
      <w:r>
        <w:rPr>
          <w:rFonts w:ascii="Arial" w:hAnsi="Arial" w:eastAsia="Arial"/>
          <w:b w:val="0"/>
          <w:i w:val="0"/>
          <w:color w:val="23242C"/>
          <w:sz w:val="21"/>
        </w:rPr>
        <w:t>Die WÖk verbindet ESG-Daten mit Wirkungsmethodik: CSRD/ESRS liefern Daten, EU-Taxonomie liefert Aktivitätsbezug, WÖk-IDs liefern Ziel- und Indikatorstruktur, der NWI aggregiert Netto-Wirkung und T-SROI bewertet Transformationswirkung.</w:t>
      </w:r>
    </w:p>
    <w:p>
      <w:pPr>
        <w:spacing w:after="100" w:before="0" w:line="259" w:lineRule="auto"/>
      </w:pPr>
      <w:r>
        <w:rPr>
          <w:rFonts w:ascii="Arial" w:hAnsi="Arial" w:eastAsia="Arial"/>
          <w:b w:val="0"/>
          <w:i w:val="0"/>
          <w:color w:val="23242C"/>
          <w:sz w:val="21"/>
        </w:rPr>
        <w:t>Die entscheidende Verschiebung lautet: Nicht Nachhaltigkeit schützt Kapital, sondern Kapital muss Mensch, Planet und Demokratie schützen.</w:t>
      </w:r>
    </w:p>
    <w:p>
      <w:pPr>
        <w:spacing w:before="200" w:after="80"/>
      </w:pPr>
      <w:r>
        <w:rPr>
          <w:rFonts w:ascii="Georgia" w:hAnsi="Georgia" w:eastAsia="Georgia"/>
          <w:b/>
          <w:i w:val="0"/>
          <w:color w:val="0B1020"/>
          <w:sz w:val="40"/>
        </w:rPr>
        <w:t>Börsen und Impact Exchange</w:t>
      </w:r>
    </w:p>
    <w:p>
      <w:pPr>
        <w:spacing w:after="100" w:before="0" w:line="259" w:lineRule="auto"/>
      </w:pPr>
      <w:r>
        <w:rPr>
          <w:rFonts w:ascii="Arial" w:hAnsi="Arial" w:eastAsia="Arial"/>
          <w:b w:val="0"/>
          <w:i w:val="0"/>
          <w:color w:val="23242C"/>
          <w:sz w:val="21"/>
        </w:rPr>
        <w:t>Börsen sind Wirkungsräume. Sie entscheiden über Sichtbarkeit, Liquidität, Indexaufnahme, Kapitalkosten und Legitimität. Was börsennotiert, liquide und indexfähig ist, zieht Kapital an.</w:t>
      </w:r>
    </w:p>
    <w:p>
      <w:pPr>
        <w:spacing w:after="100" w:before="0" w:line="259" w:lineRule="auto"/>
      </w:pPr>
      <w:r>
        <w:rPr>
          <w:rFonts w:ascii="Arial" w:hAnsi="Arial" w:eastAsia="Arial"/>
          <w:b w:val="0"/>
          <w:i w:val="0"/>
          <w:color w:val="23242C"/>
          <w:sz w:val="21"/>
        </w:rPr>
        <w:t>Ein Impact Exchange kann als Premiumsegment beginnen: Emittenten legen geprüfte Wirkungsdaten, Transformationspfade, rote Linien und WÖk-Ratings offen. Zugangsvoraussetzung ist nicht perfekte Wirkung, sondern Transparenz, Verbesserungspfad und keine roten Linien.</w:t>
      </w:r>
    </w:p>
    <w:p>
      <w:pPr>
        <w:spacing w:after="100" w:before="0" w:line="259" w:lineRule="auto"/>
      </w:pPr>
      <w:r>
        <w:rPr>
          <w:rFonts w:ascii="Arial" w:hAnsi="Arial" w:eastAsia="Arial"/>
          <w:b w:val="0"/>
          <w:i w:val="0"/>
          <w:color w:val="23242C"/>
          <w:sz w:val="21"/>
        </w:rPr>
        <w:t>Langfristig könnten Wirkungsindizes, öffentliche Beschaffung, Förderbanken, Bürger:innenfonds und Pensionssysteme solche Segmente nutzen, um Kapital gezielter zu lenken.</w:t>
      </w:r>
    </w:p>
    <w:p>
      <w:pPr>
        <w:spacing w:before="200" w:after="80"/>
      </w:pPr>
      <w:r>
        <w:rPr>
          <w:rFonts w:ascii="Georgia" w:hAnsi="Georgia" w:eastAsia="Georgia"/>
          <w:b/>
          <w:i w:val="0"/>
          <w:color w:val="0B1020"/>
          <w:sz w:val="40"/>
        </w:rPr>
        <w:t>Datenarchitektur</w:t>
      </w:r>
    </w:p>
    <w:p>
      <w:pPr>
        <w:spacing w:after="100" w:before="0" w:line="259" w:lineRule="auto"/>
      </w:pPr>
      <w:r>
        <w:rPr>
          <w:rFonts w:ascii="Arial" w:hAnsi="Arial" w:eastAsia="Arial"/>
          <w:b w:val="0"/>
          <w:i w:val="0"/>
          <w:color w:val="23242C"/>
          <w:sz w:val="21"/>
        </w:rPr>
        <w:t>Die Datenarchitektur trennt Datenerhebung und Bewertung. Unternehmen liefern Daten. Unabhängige Methodik, Wirkungsrat und Assurance prüfen Zuordnung, Benchmarks und rote Linien.</w:t>
      </w:r>
    </w:p>
    <w:p>
      <w:pPr>
        <w:spacing w:after="100" w:before="0" w:line="259" w:lineRule="auto"/>
      </w:pPr>
      <w:r>
        <w:rPr>
          <w:rFonts w:ascii="Arial" w:hAnsi="Arial" w:eastAsia="Arial"/>
          <w:b w:val="0"/>
          <w:i w:val="0"/>
          <w:color w:val="23242C"/>
          <w:sz w:val="21"/>
        </w:rPr>
        <w:t>Der Datenfluss kann so aussehen: CSRD/ESRS-Daten -&gt; WÖk-ID-Mapping -&gt; Scorecard -&gt; NWI -&gt; Portfolio-Wirkungsrating -&gt; T-SROI für Transformationswirkung -&gt; öffentliche Marktinformation.</w:t>
      </w:r>
    </w:p>
    <w:p>
      <w:pPr>
        <w:spacing w:after="100" w:before="0" w:line="259" w:lineRule="auto"/>
      </w:pPr>
      <w:r>
        <w:rPr>
          <w:rFonts w:ascii="Arial" w:hAnsi="Arial" w:eastAsia="Arial"/>
          <w:b w:val="0"/>
          <w:i w:val="0"/>
          <w:color w:val="23242C"/>
          <w:sz w:val="21"/>
        </w:rPr>
        <w:t>Damit werden Nachhaltigkeitsberichte nicht abgeschafft, sondern aus der Berichtswelt in die Kapitalsteuerung überführt.</w:t>
      </w:r>
    </w:p>
    <w:p>
      <w:pPr>
        <w:spacing w:before="200" w:after="80"/>
      </w:pPr>
      <w:r>
        <w:rPr>
          <w:rFonts w:ascii="Georgia" w:hAnsi="Georgia" w:eastAsia="Georgia"/>
          <w:b/>
          <w:i w:val="0"/>
          <w:color w:val="0B1020"/>
          <w:sz w:val="40"/>
        </w:rPr>
        <w:t>Greenwashing und Rating-Arbitrage</w:t>
      </w:r>
    </w:p>
    <w:p>
      <w:pPr>
        <w:spacing w:after="100" w:before="0" w:line="259" w:lineRule="auto"/>
      </w:pPr>
      <w:r>
        <w:rPr>
          <w:rFonts w:ascii="Arial" w:hAnsi="Arial" w:eastAsia="Arial"/>
          <w:b w:val="0"/>
          <w:i w:val="0"/>
          <w:color w:val="23242C"/>
          <w:sz w:val="21"/>
        </w:rPr>
        <w:t>Greenwashing behauptet Wirkung ohne Substanz. Crosswashing nutzt positive Teilaktivitäten, um negative Kernwirkungen zu überdecken. Rating-Arbitrage optimiert das Bewertungsmodell statt der Wirkung.</w:t>
      </w:r>
    </w:p>
    <w:p>
      <w:pPr>
        <w:spacing w:after="100" w:before="0" w:line="259" w:lineRule="auto"/>
      </w:pPr>
      <w:r>
        <w:rPr>
          <w:rFonts w:ascii="Arial" w:hAnsi="Arial" w:eastAsia="Arial"/>
          <w:b w:val="0"/>
          <w:i w:val="0"/>
          <w:color w:val="23242C"/>
          <w:sz w:val="21"/>
        </w:rPr>
        <w:t>Die WÖk begrenzt diese Risiken durch Nichtkompensation, rote Linien, Datenqualitätsklassen, öffentliche Methodik, Beschwerdewege, Wirkungsrat und Trennung von Risiko- und Wirkungsbewertung.</w:t>
      </w:r>
    </w:p>
    <w:p>
      <w:pPr>
        <w:spacing w:after="100" w:before="0" w:line="259" w:lineRule="auto"/>
      </w:pPr>
      <w:r>
        <w:rPr>
          <w:rFonts w:ascii="Arial" w:hAnsi="Arial" w:eastAsia="Arial"/>
          <w:b w:val="0"/>
          <w:i w:val="0"/>
          <w:color w:val="23242C"/>
          <w:sz w:val="21"/>
        </w:rPr>
        <w:t>Ein gutes Rating darf Kapital nicht beruhigen, wenn die reale Wirkung weiterhin schädlich bleibt.</w:t>
      </w:r>
    </w:p>
    <w:p>
      <w:pPr>
        <w:spacing w:before="200" w:after="80"/>
      </w:pPr>
      <w:r>
        <w:rPr>
          <w:rFonts w:ascii="Georgia" w:hAnsi="Georgia" w:eastAsia="Georgia"/>
          <w:b/>
          <w:i w:val="0"/>
          <w:color w:val="0B1020"/>
          <w:sz w:val="40"/>
        </w:rPr>
        <w:t>Tools und Praxis</w:t>
      </w:r>
    </w:p>
    <w:p>
      <w:pPr>
        <w:spacing w:after="100" w:before="0" w:line="259" w:lineRule="auto"/>
      </w:pPr>
      <w:r>
        <w:rPr>
          <w:rFonts w:ascii="Arial" w:hAnsi="Arial" w:eastAsia="Arial"/>
          <w:b w:val="0"/>
          <w:i w:val="0"/>
          <w:color w:val="23242C"/>
          <w:sz w:val="21"/>
        </w:rPr>
        <w:t>Website-Tools: ESG-zu-WÖk-Mapping, Impact-Exchange-Readiness-Check, Greenwashing-Risiko-Check, Portfolio-Wirkungsrating, WÖk-ID-Browser, NWI-Scorecard und T-SROI-Modul.</w:t>
      </w:r>
    </w:p>
    <w:p>
      <w:pPr>
        <w:spacing w:after="100" w:before="0" w:line="259" w:lineRule="auto"/>
      </w:pPr>
      <w:r>
        <w:rPr>
          <w:rFonts w:ascii="Arial" w:hAnsi="Arial" w:eastAsia="Arial"/>
          <w:b w:val="0"/>
          <w:i w:val="0"/>
          <w:color w:val="23242C"/>
          <w:sz w:val="21"/>
        </w:rPr>
        <w:t>Diese Tools sind keine Anlageberatung. Sie zeigen Datenlücken, Wirkungsfelder, rote Linien und Transformationspfade.</w:t>
      </w:r>
    </w:p>
    <w:p>
      <w:pPr>
        <w:spacing w:before="200" w:after="80"/>
      </w:pPr>
      <w:r>
        <w:rPr>
          <w:rFonts w:ascii="Georgia" w:hAnsi="Georgia" w:eastAsia="Georgia"/>
          <w:b/>
          <w:i w:val="0"/>
          <w:color w:val="0B1020"/>
          <w:sz w:val="40"/>
        </w:rPr>
        <w:t>SDG-/SDG+-Bezug</w:t>
      </w:r>
    </w:p>
    <w:p>
      <w:pPr>
        <w:spacing w:after="100" w:before="0" w:line="259" w:lineRule="auto"/>
      </w:pPr>
      <w:r>
        <w:rPr>
          <w:rFonts w:ascii="Arial" w:hAnsi="Arial" w:eastAsia="Arial"/>
          <w:b w:val="0"/>
          <w:i w:val="0"/>
          <w:color w:val="23242C"/>
          <w:sz w:val="21"/>
        </w:rPr>
        <w:t>Relevante SDGs: 8, 9, 10, 12, 13, 16 und 17. Relevante SDG+-Dimensionen: Demokratie, Rechtsstaatlichkeit, institutionelles Vertrauen, Medienqualität und digitale Selbstbestimmung. Finanzmärkte sind Verstärker: Sie können Transformation beschleunigen oder destruktive Pfade stabilisieren.</w:t>
      </w:r>
    </w:p>
    <w:p>
      <w:pPr>
        <w:spacing w:before="200" w:after="80"/>
      </w:pPr>
      <w:r>
        <w:rPr>
          <w:rFonts w:ascii="Georgia" w:hAnsi="Georgia" w:eastAsia="Georgia"/>
          <w:b/>
          <w:i w:val="0"/>
          <w:color w:val="0B1020"/>
          <w:sz w:val="40"/>
        </w:rPr>
        <w:t>Beispielhafte WÖk-Scorecard für Kapitalmärkte</w:t>
      </w:r>
    </w:p>
    <w:p>
      <w:pPr>
        <w:spacing w:after="100" w:before="0" w:line="259" w:lineRule="auto"/>
      </w:pPr>
      <w:r>
        <w:rPr>
          <w:rFonts w:ascii="Arial" w:hAnsi="Arial" w:eastAsia="Arial"/>
          <w:b w:val="0"/>
          <w:i w:val="0"/>
          <w:color w:val="23242C"/>
          <w:sz w:val="21"/>
        </w:rPr>
        <w:t>Ein wirkungsökonomisches Kapitalmarktrating kann aus mehreren Schichten bestehen. Es beginnt nicht mit einem Gesamtscore, sondern mit der Frage, welche Wirkungsfelder für den Emittenten überhaupt wesentlich sind. Erst danach werden Datenqualität, rote Linien, Netto-Wirkung, Transformation und Resilienz zusammengeführt.</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Ebene</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Leitfrage</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Beispielhafte Kennzahl</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Datenqualität</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Sind Daten vollständig, auditierbar und aktuell?</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CSRD/ESRS-Abdeckung, Assurance-Level, Lückenquote</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Netto-Wirkung</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Welche positive oder negative Zustandsveränderung entsteht?</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NWI nach WÖk-ID-Familien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Rote Linien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Gibt es nicht kompensierbare Negativwirkungen?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Kinderarbeit, fossiler Lock-in, Korruption, Desinformation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Transformation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Verändert Kapital Standards, Märkte oder Pfade?</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T-SROI, Diffusionswirkung, Standardsetzung</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Resilienz</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Senkt oder erhöht das Kapital systemische Risiken?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Klimarisiko, Lieferkettenrisiko, Versicherbarkeit</w:t>
            </w:r>
          </w:p>
        </w:tc>
      </w:tr>
    </w:tbl>
    <w:p>
      <w:pPr>
        <w:spacing w:after="40"/>
      </w:pPr>
    </w:p>
    <w:p>
      <w:pPr>
        <w:spacing w:after="100" w:before="0" w:line="259" w:lineRule="auto"/>
      </w:pPr>
      <w:r>
        <w:rPr>
          <w:rFonts w:ascii="Arial" w:hAnsi="Arial" w:eastAsia="Arial"/>
          <w:b w:val="0"/>
          <w:i w:val="0"/>
          <w:color w:val="23242C"/>
          <w:sz w:val="21"/>
        </w:rPr>
        <w:t>Diese Logik verhindert, dass ein hoher Durchschnittswert negative Engpässe verdeckt. Sie macht außerdem sichtbar, ob Kapital nur Risiken verwaltet oder wirklich Transformationsfähigkeit finanziert.</w:t>
      </w:r>
    </w:p>
    <w:p>
      <w:pPr>
        <w:spacing w:before="200" w:after="80"/>
      </w:pPr>
      <w:r>
        <w:rPr>
          <w:rFonts w:ascii="Georgia" w:hAnsi="Georgia" w:eastAsia="Georgia"/>
          <w:b/>
          <w:i w:val="0"/>
          <w:color w:val="0B1020"/>
          <w:sz w:val="40"/>
        </w:rPr>
        <w:t>Umsetzungspfad für ein Impact-Exchange-Segment</w:t>
      </w:r>
    </w:p>
    <w:p>
      <w:pPr>
        <w:pStyle w:val="ListBullet"/>
        <w:spacing w:after="40"/>
      </w:pPr>
      <w:r>
        <w:rPr>
          <w:rFonts w:ascii="Arial" w:hAnsi="Arial" w:eastAsia="Arial"/>
          <w:b w:val="0"/>
          <w:i w:val="0"/>
          <w:color w:val="23242C"/>
          <w:sz w:val="20"/>
        </w:rPr>
        <w:t>Phase 1: freiwilliges Premiumsegment für Emittenten mit geprüften Wirkungsdaten.</w:t>
      </w:r>
    </w:p>
    <w:p>
      <w:pPr>
        <w:pStyle w:val="ListBullet"/>
        <w:spacing w:after="40"/>
      </w:pPr>
      <w:r>
        <w:rPr>
          <w:rFonts w:ascii="Arial" w:hAnsi="Arial" w:eastAsia="Arial"/>
          <w:b w:val="0"/>
          <w:i w:val="0"/>
          <w:color w:val="23242C"/>
          <w:sz w:val="20"/>
        </w:rPr>
        <w:t>Phase 2: Nutzung durch Wirkungsfonds, Förderbanken und öffentliche Beschaffung.</w:t>
      </w:r>
    </w:p>
    <w:p>
      <w:pPr>
        <w:pStyle w:val="ListBullet"/>
        <w:spacing w:after="40"/>
      </w:pPr>
      <w:r>
        <w:rPr>
          <w:rFonts w:ascii="Arial" w:hAnsi="Arial" w:eastAsia="Arial"/>
          <w:b w:val="0"/>
          <w:i w:val="0"/>
          <w:color w:val="23242C"/>
          <w:sz w:val="20"/>
        </w:rPr>
        <w:t>Phase 3: Indexfamilien nach WÖk-Kapitalwirkung, getrennt nach Sektor, Transformationspfad und Datenqualität.</w:t>
      </w:r>
    </w:p>
    <w:p>
      <w:pPr>
        <w:pStyle w:val="ListBullet"/>
        <w:spacing w:after="40"/>
      </w:pPr>
      <w:r>
        <w:rPr>
          <w:rFonts w:ascii="Arial" w:hAnsi="Arial" w:eastAsia="Arial"/>
          <w:b w:val="0"/>
          <w:i w:val="0"/>
          <w:color w:val="23242C"/>
          <w:sz w:val="20"/>
        </w:rPr>
        <w:t>Phase 4: europäische Anschlussfähigkeit über CSRD, ESRS, EU-Taxonomie, EBA/EIOPA/ESMA und nationale Wirkungsrat-Methodik.</w:t>
      </w:r>
    </w:p>
    <w:p>
      <w:pPr>
        <w:pStyle w:val="ListBullet"/>
        <w:spacing w:after="40"/>
      </w:pPr>
      <w:r>
        <w:rPr>
          <w:rFonts w:ascii="Arial" w:hAnsi="Arial" w:eastAsia="Arial"/>
          <w:b w:val="0"/>
          <w:i w:val="0"/>
          <w:color w:val="23242C"/>
          <w:sz w:val="20"/>
        </w:rPr>
        <w:t>Phase 5: Integration in Bürger:innenfonds und langfristige Altersvorsorge, ohne daraus eine Anlageberatung zu machen.</w:t>
      </w:r>
    </w:p>
    <w:p>
      <w:pPr>
        <w:spacing w:after="100" w:before="0" w:line="259" w:lineRule="auto"/>
      </w:pPr>
      <w:r>
        <w:rPr>
          <w:rFonts w:ascii="Arial" w:hAnsi="Arial" w:eastAsia="Arial"/>
          <w:b w:val="0"/>
          <w:i w:val="0"/>
          <w:color w:val="23242C"/>
          <w:sz w:val="21"/>
        </w:rPr>
        <w:t>Die Impact Exchange ist damit kein Ersatz klassischer Börsen, sondern ein Korrektiv und Lernraum. Sie zeigt, wie Kapitalmarktinfrastruktur aussehen kann, wenn Wirkung nicht nur ein Prospektbegriff, sondern ein prüfbares Marktmerkmal ist.</w:t>
      </w:r>
    </w:p>
    <w:p>
      <w:pPr>
        <w:spacing w:before="200" w:after="80"/>
      </w:pPr>
      <w:r>
        <w:rPr>
          <w:rFonts w:ascii="Georgia" w:hAnsi="Georgia" w:eastAsia="Georgia"/>
          <w:b/>
          <w:i w:val="0"/>
          <w:color w:val="0B1020"/>
          <w:sz w:val="40"/>
        </w:rPr>
        <w:t>Politische Anschlussfähigkeit und Umsetzungsoptionen</w:t>
      </w:r>
    </w:p>
    <w:p>
      <w:pPr>
        <w:spacing w:after="100" w:before="0" w:line="259" w:lineRule="auto"/>
      </w:pPr>
      <w:r>
        <w:rPr>
          <w:rFonts w:ascii="Arial" w:hAnsi="Arial" w:eastAsia="Arial"/>
          <w:b w:val="0"/>
          <w:i w:val="0"/>
          <w:color w:val="23242C"/>
          <w:sz w:val="21"/>
        </w:rPr>
        <w:t>Die folgenden politischen Anforderungen beschreiben keinen fertigen Parteibeschluss. Sie markieren den Rahmen, damit ESG-Ratings, Börsen und Impact Exchange demokratisch, rechtsstaatlich, marktwirtschaftlich anschlussfähig und praktisch umsetzbar wird.</w:t>
      </w:r>
    </w:p>
    <w:tbl>
      <w:tblPr>
        <w:tblStyle w:val="TableGrid"/>
        <w:tblW w:type="auto" w:w="0"/>
        <w:jc w:val="center"/>
        <w:tblLook w:firstColumn="1" w:firstRow="1" w:lastColumn="0" w:lastRow="0" w:noHBand="0" w:noVBand="1" w:val="04A0"/>
      </w:tblPr>
      <w:tblGrid>
        <w:gridCol w:w="5040"/>
        <w:gridCol w:w="5040"/>
      </w:tblGrid>
      <w:tr>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Ebene</w:t>
            </w:r>
          </w:p>
        </w:tc>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Aufgabe für Politik und Umsetzung</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Aufgabe der Politik</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Rahmen setzen, Datenqualität sichern, Missbrauch verhindern und Übergänge fair gestalten.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Politische Rahmenbedingungen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Rechtssichere Definitionen, unabhängige Prüfung, Schutz kleiner Akteure und europäische Anschlussfähigkeit.</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Ausgestaltungsspielraum</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Tempo, Verbindlichkeit, Förderanteile, Steuerstaffelung, Pilotierung und Härtefallregeln bleiben politisch offen.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Zielkonflikte</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Freiheit und Lenkung, Innovation und Kontrolle, Datenschutz und Transparenz, Kapitalmobilisierung und Spekulationsschutz.</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Rollenverteilung</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EU, Bund, Länder, Kommunen, Aufsicht, Finanzwirtschaft, Unternehmen, Wissenschaft, Zivilgesellschaft und Bürger:innen.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Übergang und Schutz</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Pilotphasen, De-minimis-Regeln, KMU-Schutz, Rechtsschutz, Ombudsstellen und Revisionszyklen.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Evaluation und Korrektur</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Wirkungsberichte, unabhängige Assurance, Wirkungsrat, parlamentarische Kontrolle und öffentliche Konsultation.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Schutz vor Technokratie</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Wirkungsdaten bereiten Entscheidungen vor, ersetzen sie aber nicht.</w:t>
            </w:r>
          </w:p>
        </w:tc>
      </w:tr>
    </w:tbl>
    <w:p>
      <w:pPr>
        <w:spacing w:after="40"/>
      </w:pPr>
    </w:p>
    <w:p>
      <w:pPr>
        <w:spacing w:before="200" w:after="80"/>
      </w:pPr>
      <w:r>
        <w:rPr>
          <w:rFonts w:ascii="Georgia" w:hAnsi="Georgia" w:eastAsia="Georgia"/>
          <w:b/>
          <w:i w:val="0"/>
          <w:color w:val="0B1020"/>
          <w:sz w:val="40"/>
        </w:rPr>
        <w:t>Website- und Portalintegration</w:t>
      </w:r>
    </w:p>
    <w:p>
      <w:pPr>
        <w:spacing w:after="100" w:before="0" w:line="259" w:lineRule="auto"/>
      </w:pPr>
      <w:r>
        <w:rPr>
          <w:rFonts w:ascii="Arial" w:hAnsi="Arial" w:eastAsia="Arial"/>
          <w:b w:val="0"/>
          <w:i w:val="0"/>
          <w:color w:val="23242C"/>
          <w:sz w:val="21"/>
        </w:rPr>
        <w:t>Dieses Detailkonzept sollte vollständig online lesbar sein unter /wirkungsfelder/finanzsystem-kapital/esg-ratings-boersen-impact-exchange/. Der bestehende Portaltext bleibt als Kurzüberblick erhalten; dieses Dokument bildet die Vertiefung.</w:t>
      </w:r>
    </w:p>
    <w:p>
      <w:pPr>
        <w:pStyle w:val="ListBullet"/>
        <w:spacing w:after="40"/>
      </w:pPr>
      <w:r>
        <w:rPr>
          <w:rFonts w:ascii="Arial" w:hAnsi="Arial" w:eastAsia="Arial"/>
          <w:b w:val="0"/>
          <w:i w:val="0"/>
          <w:color w:val="23242C"/>
          <w:sz w:val="20"/>
        </w:rPr>
        <w:t>Online-Volltext mit Inhaltsverzeichnis und Kapitelankern.</w:t>
      </w:r>
    </w:p>
    <w:p>
      <w:pPr>
        <w:pStyle w:val="ListBullet"/>
        <w:spacing w:after="40"/>
      </w:pPr>
      <w:r>
        <w:rPr>
          <w:rFonts w:ascii="Arial" w:hAnsi="Arial" w:eastAsia="Arial"/>
          <w:b w:val="0"/>
          <w:i w:val="0"/>
          <w:color w:val="23242C"/>
          <w:sz w:val="20"/>
        </w:rPr>
        <w:t>Download als DOCX und PDF mit Version, Status und Stand.</w:t>
      </w:r>
    </w:p>
    <w:p>
      <w:pPr>
        <w:pStyle w:val="ListBullet"/>
        <w:spacing w:after="40"/>
      </w:pPr>
      <w:r>
        <w:rPr>
          <w:rFonts w:ascii="Arial" w:hAnsi="Arial" w:eastAsia="Arial"/>
          <w:b w:val="0"/>
          <w:i w:val="0"/>
          <w:color w:val="23242C"/>
          <w:sz w:val="20"/>
        </w:rPr>
        <w:t>Toolkarten zu Kapitalwirkungscheck, Wirkungsfonds-Simulator, Portfolio-Wirkungsrating und Steuer-/Abgabenmodulen.</w:t>
      </w:r>
    </w:p>
    <w:p>
      <w:pPr>
        <w:pStyle w:val="ListBullet"/>
        <w:spacing w:after="40"/>
      </w:pPr>
      <w:r>
        <w:rPr>
          <w:rFonts w:ascii="Arial" w:hAnsi="Arial" w:eastAsia="Arial"/>
          <w:b w:val="0"/>
          <w:i w:val="0"/>
          <w:color w:val="23242C"/>
          <w:sz w:val="20"/>
        </w:rPr>
        <w:t>Querverlinkung zu Staat/Recht, Wirtschaft/Unternehmen, Arbeit/Einkommen, Rente, Produkte/WUStG, Impact Controlling und SDG-/SDG+.</w:t>
      </w:r>
    </w:p>
    <w:p>
      <w:pPr>
        <w:spacing w:before="200" w:after="80"/>
      </w:pPr>
      <w:r>
        <w:rPr>
          <w:rFonts w:ascii="Georgia" w:hAnsi="Georgia" w:eastAsia="Georgia"/>
          <w:b/>
          <w:i w:val="0"/>
          <w:color w:val="0B1020"/>
          <w:sz w:val="40"/>
        </w:rPr>
        <w:t>Quellen und Anschlussstellen</w:t>
      </w:r>
    </w:p>
    <w:p>
      <w:pPr>
        <w:spacing w:after="40" w:before="0" w:line="259" w:lineRule="auto"/>
      </w:pPr>
      <w:r>
        <w:rPr>
          <w:rFonts w:ascii="Arial" w:hAnsi="Arial" w:eastAsia="Arial"/>
          <w:b w:val="0"/>
          <w:i w:val="0"/>
          <w:color w:val="23242C"/>
          <w:sz w:val="21"/>
        </w:rPr>
        <w:t>- Europäische Kommission: EU Taxonomy for sustainable activities - Klassifikationssystem und Transparenztool für nachhaltige wirtschaftliche Aktivitäten.</w:t>
      </w:r>
    </w:p>
    <w:p>
      <w:pPr>
        <w:spacing w:after="40" w:before="0" w:line="259" w:lineRule="auto"/>
      </w:pPr>
      <w:r>
        <w:rPr>
          <w:rFonts w:ascii="Arial" w:hAnsi="Arial" w:eastAsia="Arial"/>
          <w:b w:val="0"/>
          <w:i w:val="0"/>
          <w:color w:val="23242C"/>
          <w:sz w:val="21"/>
        </w:rPr>
        <w:t>- Europäische Kommission: Corporate Sustainability Reporting Directive / ESRS - Nachhaltigkeitsberichterstattung und Datenbasis.</w:t>
      </w:r>
    </w:p>
    <w:p>
      <w:pPr>
        <w:spacing w:after="40" w:before="0" w:line="259" w:lineRule="auto"/>
      </w:pPr>
      <w:r>
        <w:rPr>
          <w:rFonts w:ascii="Arial" w:hAnsi="Arial" w:eastAsia="Arial"/>
          <w:b w:val="0"/>
          <w:i w:val="0"/>
          <w:color w:val="23242C"/>
          <w:sz w:val="21"/>
        </w:rPr>
        <w:t>- European Banking Authority: Guidelines on the management of ESG risks - Identifikation, Messung, Management und Monitoring von ESG-Risiken; Anwendung ab 11.01.2026.</w:t>
      </w:r>
    </w:p>
    <w:p>
      <w:pPr>
        <w:spacing w:after="40" w:before="0" w:line="259" w:lineRule="auto"/>
      </w:pPr>
      <w:r>
        <w:rPr>
          <w:rFonts w:ascii="Arial" w:hAnsi="Arial" w:eastAsia="Arial"/>
          <w:b w:val="0"/>
          <w:i w:val="0"/>
          <w:color w:val="23242C"/>
          <w:sz w:val="21"/>
        </w:rPr>
        <w:t>- EIOPA: Sustainable finance - Nachhaltigkeitsrisiken, Versicherbarkeit, Protection Gaps, grüne Verhaltenstransparenz und Rolle der Versicherungs- und Pensionssektoren.</w:t>
      </w:r>
    </w:p>
    <w:p>
      <w:pPr>
        <w:spacing w:after="40" w:before="0" w:line="259" w:lineRule="auto"/>
      </w:pPr>
      <w:r>
        <w:rPr>
          <w:rFonts w:ascii="Arial" w:hAnsi="Arial" w:eastAsia="Arial"/>
          <w:b w:val="0"/>
          <w:i w:val="0"/>
          <w:color w:val="23242C"/>
          <w:sz w:val="21"/>
        </w:rPr>
        <w:t>- Natalie Weber: Die neue Ordnung des Wohlstands - Kapital, Wirkungsfonds, Portfolio-Wirkung, Versicherbarkeit, Wirkungseinkommen, Wirkungsrente und Steuerarchitektur.</w:t>
      </w:r>
    </w:p>
    <w:p>
      <w:pPr>
        <w:spacing w:after="40" w:before="0" w:line="259" w:lineRule="auto"/>
      </w:pPr>
      <w:r>
        <w:rPr>
          <w:rFonts w:ascii="Arial" w:hAnsi="Arial" w:eastAsia="Arial"/>
          <w:b w:val="0"/>
          <w:i w:val="0"/>
          <w:color w:val="23242C"/>
          <w:sz w:val="21"/>
        </w:rPr>
        <w:t>- Wirkungsökonomie: Führender Begriffsleitfaden v1.0 - Wirkung ist neutral und relational; Bewertung am Rahmen SDGs, Agenda 2030 und SDG+.</w:t>
      </w:r>
    </w:p>
    <w:p>
      <w:pPr>
        <w:spacing w:before="200" w:after="80"/>
      </w:pPr>
      <w:r>
        <w:rPr>
          <w:rFonts w:ascii="Georgia" w:hAnsi="Georgia" w:eastAsia="Georgia"/>
          <w:b/>
          <w:i w:val="0"/>
          <w:color w:val="0B1020"/>
          <w:sz w:val="40"/>
        </w:rPr>
        <w:t>Fazit</w:t>
      </w:r>
    </w:p>
    <w:p>
      <w:pPr>
        <w:spacing w:after="100" w:before="0" w:line="259" w:lineRule="auto"/>
      </w:pPr>
      <w:r>
        <w:rPr>
          <w:rFonts w:ascii="Arial" w:hAnsi="Arial" w:eastAsia="Arial"/>
          <w:b w:val="0"/>
          <w:i w:val="0"/>
          <w:color w:val="23242C"/>
          <w:sz w:val="21"/>
        </w:rPr>
        <w:t>ESG-Ratings sind wertvolle Anschlussinstrumente, aber erst die Rückbindung an WÖk-IDs, Nichtkompensation, NWI, T-SROI und demokratische Kontrolle macht daraus Kapitalwirkung. Börsen und Impact Exchanges können diese Wirkung sichtbar und investierbar machen.</w:t>
      </w:r>
    </w:p>
    <w:p>
      <w:pPr>
        <w:spacing w:after="100" w:before="160" w:line="259" w:lineRule="auto"/>
      </w:pPr>
      <w:r>
        <w:rPr>
          <w:rFonts w:ascii="Arial" w:hAnsi="Arial" w:eastAsia="Arial"/>
          <w:b w:val="0"/>
          <w:i/>
          <w:color w:val="6E6E6E"/>
          <w:sz w:val="17"/>
        </w:rPr>
        <w:t>Hinweis: Dieses Dokument ist eine konzeptionelle Arbeitsfassung. Es ersetzt keine Rechts-, Steuer-, Anlage-, Versicherungs- oder Finanzberatung.</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Arial" w:hAnsi="Arial" w:eastAsia="Arial"/>
        <w:b w:val="0"/>
        <w:i w:val="0"/>
        <w:color w:val="6E6E6E"/>
        <w:sz w:val="16"/>
      </w:rPr>
      <w:t>Detailkonzept · Finanzsystem &amp; Kapital · Go 14 · 33</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
      <w:rPr>
        <w:rFonts w:ascii="Arial" w:hAnsi="Arial" w:eastAsia="Arial"/>
        <w:b/>
        <w:i w:val="0"/>
        <w:color w:val="2F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324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