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line="259" w:lineRule="auto"/>
      </w:pPr>
      <w:r>
        <w:rPr>
          <w:rFonts w:ascii="Georgia" w:hAnsi="Georgia" w:eastAsia="Georgia"/>
          <w:b/>
          <w:i w:val="0"/>
          <w:color w:val="0B1020"/>
          <w:sz w:val="48"/>
        </w:rPr>
        <w:t>WIRKUNGSÖKONOMIE</w:t>
      </w:r>
    </w:p>
    <w:p>
      <w:pPr>
        <w:spacing w:after="160" w:before="0" w:line="259" w:lineRule="auto"/>
      </w:pPr>
      <w:r>
        <w:rPr>
          <w:rFonts w:ascii="Arial" w:hAnsi="Arial" w:eastAsia="Arial"/>
          <w:b/>
          <w:i w:val="0"/>
          <w:color w:val="2F7D5C"/>
          <w:sz w:val="20"/>
        </w:rPr>
        <w:t>DETAILKONZEPT</w:t>
      </w:r>
    </w:p>
    <w:p>
      <w:pPr>
        <w:spacing w:after="60" w:before="0" w:line="259" w:lineRule="auto"/>
      </w:pPr>
      <w:r>
        <w:rPr>
          <w:rFonts w:ascii="Georgia" w:hAnsi="Georgia" w:eastAsia="Georgia"/>
          <w:b/>
          <w:i w:val="0"/>
          <w:color w:val="0B1020"/>
          <w:sz w:val="44"/>
        </w:rPr>
        <w:t>Wirkungsorientierte Steuer- und Abgabenarchitektur des Kapitals</w:t>
      </w:r>
    </w:p>
    <w:p>
      <w:pPr>
        <w:spacing w:after="280" w:before="0" w:line="259" w:lineRule="auto"/>
      </w:pPr>
      <w:r>
        <w:rPr>
          <w:rFonts w:ascii="Arial" w:hAnsi="Arial" w:eastAsia="Arial"/>
          <w:b w:val="0"/>
          <w:i w:val="0"/>
          <w:color w:val="23242C"/>
          <w:sz w:val="24"/>
        </w:rPr>
        <w:t>Körperschaftsteuer, Gewerbesteuer, Vermögen, Erbschaft, Sozialabgaben und Maschinenwertschöpfung nach Wirkung</w:t>
      </w:r>
    </w:p>
    <w:tbl>
      <w:tblPr>
        <w:tblW w:type="auto" w:w="0"/>
        <w:tblLook w:firstColumn="1" w:firstRow="1" w:lastColumn="0" w:lastRow="0" w:noHBand="0" w:noVBand="1" w:val="04A0"/>
      </w:tblPr>
      <w:tblGrid>
        <w:gridCol w:w="10080"/>
      </w:tblGrid>
      <w:tr>
        <w:tc>
          <w:tcPr>
            <w:tcW w:type="dxa" w:w="10080"/>
            <w:shd w:fill="F6F1E8"/>
            <w:tcBorders>
              <w:top w:val="single" w:sz="6" w:space="0" w:color="D9D2C3"/>
              <w:left w:val="single" w:sz="6" w:space="0" w:color="D9D2C3"/>
              <w:bottom w:val="single" w:sz="6" w:space="0" w:color="D9D2C3"/>
              <w:right w:val="single" w:sz="6" w:space="0" w:color="D9D2C3"/>
            </w:tcBorders>
          </w:tcPr>
          <w:p>
            <w:pPr>
              <w:jc w:val="center"/>
            </w:pPr>
            <w:r>
              <w:rPr>
                <w:rFonts w:ascii="Georgia" w:hAnsi="Georgia" w:eastAsia="Georgia"/>
                <w:b w:val="0"/>
                <w:i/>
                <w:color w:val="0B1020"/>
                <w:sz w:val="26"/>
              </w:rPr>
              <w:t>„Steuern sind nicht nur Einnahmen. Sie sind Rückkopplung der Gesellschaft auf Wirkung.“</w:t>
            </w:r>
          </w:p>
        </w:tc>
      </w:tr>
    </w:tbl>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Metadatum</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Angabe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Autorin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Natalie Weber</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Referenz</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Wirkungsökonomie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Version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v1.0</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Status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öffentliche Ausarbeitung</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Stand</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24. Mai 2026</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Portal</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Finanzsystem &amp; Kapital</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Hinweis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Konzeptionelle Arbeitsfassung; keine Rechts-, Steuer-, Anlage-, Versicherungs- oder Finanzberatung</w:t>
            </w:r>
          </w:p>
        </w:tc>
      </w:tr>
    </w:tbl>
    <w:p>
      <w:pPr>
        <w:spacing w:after="40"/>
      </w:pPr>
    </w:p>
    <w:p>
      <w:pPr>
        <w:spacing w:before="200" w:after="80"/>
      </w:pPr>
      <w:r>
        <w:rPr>
          <w:rFonts w:ascii="Georgia" w:hAnsi="Georgia" w:eastAsia="Georgia"/>
          <w:b/>
          <w:i w:val="0"/>
          <w:color w:val="0B1020"/>
          <w:sz w:val="40"/>
        </w:rPr>
        <w:t>Kurzprofil</w:t>
      </w:r>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Metadatum</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Angabe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Dokumenttyp</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Öffentliches Detailkonzept</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Zugehöriges Portal</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Finanzsystem &amp; Kapital</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Unterbereich</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Wirkungsorientierte Steuer- und Abgabenarchitektur des Kapitals</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Autorin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Natalie Weber · Wirkungsökonomie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Öffentlichkeit</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Enthält keine internen CodeX-/Repository-Anweisungen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Hinweis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Konzeptionelle Arbeitsfassung; keine Rechts-, Steuer-, Anlage-, Versicherungs- oder Finanzberatung</w:t>
            </w:r>
          </w:p>
        </w:tc>
      </w:tr>
    </w:tbl>
    <w:p>
      <w:pPr>
        <w:spacing w:after="40"/>
      </w:pPr>
    </w:p>
    <w:p>
      <w:pPr>
        <w:spacing w:before="200" w:after="80"/>
      </w:pPr>
      <w:r>
        <w:rPr>
          <w:rFonts w:ascii="Georgia" w:hAnsi="Georgia" w:eastAsia="Georgia"/>
          <w:b/>
          <w:i w:val="0"/>
          <w:color w:val="0B1020"/>
          <w:sz w:val="40"/>
        </w:rPr>
        <w:t>Inhaltsübersicht</w:t>
      </w:r>
    </w:p>
    <w:p>
      <w:pPr>
        <w:spacing w:after="40" w:before="0" w:line="259" w:lineRule="auto"/>
      </w:pPr>
      <w:r>
        <w:rPr>
          <w:rFonts w:ascii="Arial" w:hAnsi="Arial" w:eastAsia="Arial"/>
          <w:b w:val="0"/>
          <w:i w:val="0"/>
          <w:color w:val="23242C"/>
          <w:sz w:val="21"/>
        </w:rPr>
        <w:t>1. Executive Summary</w:t>
      </w:r>
    </w:p>
    <w:p>
      <w:pPr>
        <w:spacing w:after="40" w:before="0" w:line="259" w:lineRule="auto"/>
      </w:pPr>
      <w:r>
        <w:rPr>
          <w:rFonts w:ascii="Arial" w:hAnsi="Arial" w:eastAsia="Arial"/>
          <w:b w:val="0"/>
          <w:i w:val="0"/>
          <w:color w:val="23242C"/>
          <w:sz w:val="21"/>
        </w:rPr>
        <w:t>2. Ausgangsdiagnose</w:t>
      </w:r>
    </w:p>
    <w:p>
      <w:pPr>
        <w:spacing w:after="40" w:before="0" w:line="259" w:lineRule="auto"/>
      </w:pPr>
      <w:r>
        <w:rPr>
          <w:rFonts w:ascii="Arial" w:hAnsi="Arial" w:eastAsia="Arial"/>
          <w:b w:val="0"/>
          <w:i w:val="0"/>
          <w:color w:val="23242C"/>
          <w:sz w:val="21"/>
        </w:rPr>
        <w:t>3. Steuerarchitektur der Wirkungsökonomie</w:t>
      </w:r>
    </w:p>
    <w:p>
      <w:pPr>
        <w:spacing w:after="40" w:before="0" w:line="259" w:lineRule="auto"/>
      </w:pPr>
      <w:r>
        <w:rPr>
          <w:rFonts w:ascii="Arial" w:hAnsi="Arial" w:eastAsia="Arial"/>
          <w:b w:val="0"/>
          <w:i w:val="0"/>
          <w:color w:val="23242C"/>
          <w:sz w:val="21"/>
        </w:rPr>
        <w:t>4. Wirkungskörperschaftsteuer</w:t>
      </w:r>
    </w:p>
    <w:p>
      <w:pPr>
        <w:spacing w:after="40" w:before="0" w:line="259" w:lineRule="auto"/>
      </w:pPr>
      <w:r>
        <w:rPr>
          <w:rFonts w:ascii="Arial" w:hAnsi="Arial" w:eastAsia="Arial"/>
          <w:b w:val="0"/>
          <w:i w:val="0"/>
          <w:color w:val="23242C"/>
          <w:sz w:val="21"/>
        </w:rPr>
        <w:t>5. Wirkungsgewerbesteuer</w:t>
      </w:r>
    </w:p>
    <w:p>
      <w:pPr>
        <w:spacing w:after="40" w:before="0" w:line="259" w:lineRule="auto"/>
      </w:pPr>
      <w:r>
        <w:rPr>
          <w:rFonts w:ascii="Arial" w:hAnsi="Arial" w:eastAsia="Arial"/>
          <w:b w:val="0"/>
          <w:i w:val="0"/>
          <w:color w:val="23242C"/>
          <w:sz w:val="21"/>
        </w:rPr>
        <w:t>6. Wirkungskapitalsteuer und Vermögen</w:t>
      </w:r>
    </w:p>
    <w:p>
      <w:pPr>
        <w:spacing w:after="40" w:before="0" w:line="259" w:lineRule="auto"/>
      </w:pPr>
      <w:r>
        <w:rPr>
          <w:rFonts w:ascii="Arial" w:hAnsi="Arial" w:eastAsia="Arial"/>
          <w:b w:val="0"/>
          <w:i w:val="0"/>
          <w:color w:val="23242C"/>
          <w:sz w:val="21"/>
        </w:rPr>
        <w:t>7. Wirkungserbschaftsteuer</w:t>
      </w:r>
    </w:p>
    <w:p>
      <w:pPr>
        <w:spacing w:after="40" w:before="0" w:line="259" w:lineRule="auto"/>
      </w:pPr>
      <w:r>
        <w:rPr>
          <w:rFonts w:ascii="Arial" w:hAnsi="Arial" w:eastAsia="Arial"/>
          <w:b w:val="0"/>
          <w:i w:val="0"/>
          <w:color w:val="23242C"/>
          <w:sz w:val="21"/>
        </w:rPr>
        <w:t>8. Sozialabgaben-Entkopplung und Maschinenwertschöpfung</w:t>
      </w:r>
    </w:p>
    <w:p>
      <w:pPr>
        <w:spacing w:after="40" w:before="0" w:line="259" w:lineRule="auto"/>
      </w:pPr>
      <w:r>
        <w:rPr>
          <w:rFonts w:ascii="Arial" w:hAnsi="Arial" w:eastAsia="Arial"/>
          <w:b w:val="0"/>
          <w:i w:val="0"/>
          <w:color w:val="23242C"/>
          <w:sz w:val="21"/>
        </w:rPr>
        <w:t>9. Politische Ausgestaltungsspielräume</w:t>
      </w:r>
    </w:p>
    <w:p>
      <w:pPr>
        <w:spacing w:after="40" w:before="0" w:line="259" w:lineRule="auto"/>
      </w:pPr>
      <w:r>
        <w:rPr>
          <w:rFonts w:ascii="Arial" w:hAnsi="Arial" w:eastAsia="Arial"/>
          <w:b w:val="0"/>
          <w:i w:val="0"/>
          <w:color w:val="23242C"/>
          <w:sz w:val="21"/>
        </w:rPr>
        <w:t>10. Daten und Missbrauchsschutz</w:t>
      </w:r>
    </w:p>
    <w:p>
      <w:pPr>
        <w:spacing w:after="40" w:before="0" w:line="259" w:lineRule="auto"/>
      </w:pPr>
      <w:r>
        <w:rPr>
          <w:rFonts w:ascii="Arial" w:hAnsi="Arial" w:eastAsia="Arial"/>
          <w:b w:val="0"/>
          <w:i w:val="0"/>
          <w:color w:val="23242C"/>
          <w:sz w:val="21"/>
        </w:rPr>
        <w:t>11. Akteursgruppen</w:t>
      </w:r>
    </w:p>
    <w:p>
      <w:pPr>
        <w:spacing w:after="40" w:before="0" w:line="259" w:lineRule="auto"/>
      </w:pPr>
      <w:r>
        <w:rPr>
          <w:rFonts w:ascii="Arial" w:hAnsi="Arial" w:eastAsia="Arial"/>
          <w:b w:val="0"/>
          <w:i w:val="0"/>
          <w:color w:val="23242C"/>
          <w:sz w:val="21"/>
        </w:rPr>
        <w:t>12. Tools und Praxis</w:t>
      </w:r>
    </w:p>
    <w:p>
      <w:pPr>
        <w:spacing w:after="40" w:before="0" w:line="259" w:lineRule="auto"/>
      </w:pPr>
      <w:r>
        <w:rPr>
          <w:rFonts w:ascii="Arial" w:hAnsi="Arial" w:eastAsia="Arial"/>
          <w:b w:val="0"/>
          <w:i w:val="0"/>
          <w:color w:val="23242C"/>
          <w:sz w:val="21"/>
        </w:rPr>
        <w:t>13. SDG-/SDG+-Bezug</w:t>
      </w:r>
    </w:p>
    <w:p>
      <w:pPr>
        <w:spacing w:after="40" w:before="0" w:line="259" w:lineRule="auto"/>
      </w:pPr>
      <w:r>
        <w:rPr>
          <w:rFonts w:ascii="Arial" w:hAnsi="Arial" w:eastAsia="Arial"/>
          <w:b w:val="0"/>
          <w:i w:val="0"/>
          <w:color w:val="23242C"/>
          <w:sz w:val="21"/>
        </w:rPr>
        <w:t>14. Politische Anschlussfähigkeit</w:t>
      </w:r>
    </w:p>
    <w:p>
      <w:pPr>
        <w:spacing w:after="40" w:before="0" w:line="259" w:lineRule="auto"/>
      </w:pPr>
      <w:r>
        <w:rPr>
          <w:rFonts w:ascii="Arial" w:hAnsi="Arial" w:eastAsia="Arial"/>
          <w:b w:val="0"/>
          <w:i w:val="0"/>
          <w:color w:val="23242C"/>
          <w:sz w:val="21"/>
        </w:rPr>
        <w:t>15. Website-Integration</w:t>
      </w:r>
    </w:p>
    <w:p>
      <w:pPr>
        <w:spacing w:after="40" w:before="0" w:line="259" w:lineRule="auto"/>
      </w:pPr>
      <w:r>
        <w:rPr>
          <w:rFonts w:ascii="Arial" w:hAnsi="Arial" w:eastAsia="Arial"/>
          <w:b w:val="0"/>
          <w:i w:val="0"/>
          <w:color w:val="23242C"/>
          <w:sz w:val="21"/>
        </w:rPr>
        <w:t>16. Quellen</w:t>
      </w:r>
    </w:p>
    <w:p>
      <w:pPr>
        <w:spacing w:after="40" w:before="0" w:line="259" w:lineRule="auto"/>
      </w:pPr>
      <w:r>
        <w:rPr>
          <w:rFonts w:ascii="Arial" w:hAnsi="Arial" w:eastAsia="Arial"/>
          <w:b w:val="0"/>
          <w:i w:val="0"/>
          <w:color w:val="23242C"/>
          <w:sz w:val="21"/>
        </w:rPr>
        <w:t>17. Fazit</w:t>
      </w:r>
    </w:p>
    <w:p>
      <w:pPr>
        <w:spacing w:before="200" w:after="80"/>
      </w:pPr>
      <w:r>
        <w:rPr>
          <w:rFonts w:ascii="Georgia" w:hAnsi="Georgia" w:eastAsia="Georgia"/>
          <w:b/>
          <w:i w:val="0"/>
          <w:color w:val="0B1020"/>
          <w:sz w:val="40"/>
        </w:rPr>
        <w:t>Executive Summary</w:t>
      </w:r>
    </w:p>
    <w:p>
      <w:pPr>
        <w:spacing w:after="100" w:before="0" w:line="259" w:lineRule="auto"/>
      </w:pPr>
      <w:r>
        <w:rPr>
          <w:rFonts w:ascii="Arial" w:hAnsi="Arial" w:eastAsia="Arial"/>
          <w:b w:val="0"/>
          <w:i w:val="0"/>
          <w:color w:val="23242C"/>
          <w:sz w:val="21"/>
        </w:rPr>
        <w:t>Die Wirkungsökonomie braucht eine Steuer- und Abgabenarchitektur, die Kapital nicht bestraft, sondern ausrichtet. Kapital bleibt Werkzeug für Innovation, Investition und Transformation. Aber Kapitalerträge, Unternehmensgewinne, Vermögen, Erbschaften und automatisierte Wertschöpfung dürfen nicht wirkungsblind bleiben.</w:t>
      </w:r>
    </w:p>
    <w:p>
      <w:pPr>
        <w:spacing w:after="100" w:before="0" w:line="259" w:lineRule="auto"/>
      </w:pPr>
      <w:r>
        <w:rPr>
          <w:rFonts w:ascii="Arial" w:hAnsi="Arial" w:eastAsia="Arial"/>
          <w:b w:val="0"/>
          <w:i w:val="0"/>
          <w:color w:val="23242C"/>
          <w:sz w:val="21"/>
        </w:rPr>
        <w:t>Dieses Detailkonzept ordnet Wirkungskörperschaftsteuer, Wirkungsgewerbesteuer, Wirkungskapitalsteuer, wirkungsorientierte Vermögen- und Erbschaftsteuer sowie die Entkopplung sozialer Sicherung von menschlicher Erwerbsarbeit.</w:t>
      </w:r>
    </w:p>
    <w:p>
      <w:pPr>
        <w:spacing w:after="100" w:before="0" w:line="259" w:lineRule="auto"/>
      </w:pPr>
      <w:r>
        <w:rPr>
          <w:rFonts w:ascii="Arial" w:hAnsi="Arial" w:eastAsia="Arial"/>
          <w:b w:val="0"/>
          <w:i w:val="0"/>
          <w:color w:val="23242C"/>
          <w:sz w:val="21"/>
        </w:rPr>
        <w:t>Der Vorschlag lautet nicht zwingend: überall neue Steuerarten. Vieles kann über Wirkungsfaktoren, Bonus-Malus-Mechaniken, Fondsrückkopplung, kommunale Wirkungshaushalte und Übergangsregeln in bestehende Steuerlogiken integriert werden.</w:t>
      </w:r>
    </w:p>
    <w:p>
      <w:pPr>
        <w:spacing w:before="200" w:after="80"/>
      </w:pPr>
      <w:r>
        <w:rPr>
          <w:rFonts w:ascii="Georgia" w:hAnsi="Georgia" w:eastAsia="Georgia"/>
          <w:b/>
          <w:i w:val="0"/>
          <w:color w:val="0B1020"/>
          <w:sz w:val="40"/>
        </w:rPr>
        <w:t>Ausgangsdiagnose</w:t>
      </w:r>
    </w:p>
    <w:p>
      <w:pPr>
        <w:spacing w:after="100" w:before="0" w:line="259" w:lineRule="auto"/>
      </w:pPr>
      <w:r>
        <w:rPr>
          <w:rFonts w:ascii="Arial" w:hAnsi="Arial" w:eastAsia="Arial"/>
          <w:b w:val="0"/>
          <w:i w:val="0"/>
          <w:color w:val="23242C"/>
          <w:sz w:val="21"/>
        </w:rPr>
        <w:t>Das heutige Steuerrecht unterscheidet sehr präzise nach Rechtsform, Bemessungsgrundlage und Steuersubjekt. Es unterscheidet aber nur begrenzt, ob Kapital positive oder negative Zustandsveränderungen erzeugt.</w:t>
      </w:r>
    </w:p>
    <w:p>
      <w:pPr>
        <w:spacing w:after="100" w:before="0" w:line="259" w:lineRule="auto"/>
      </w:pPr>
      <w:r>
        <w:rPr>
          <w:rFonts w:ascii="Arial" w:hAnsi="Arial" w:eastAsia="Arial"/>
          <w:b w:val="0"/>
          <w:i w:val="0"/>
          <w:color w:val="23242C"/>
          <w:sz w:val="21"/>
        </w:rPr>
        <w:t>Ein Euro Gewinn aus regenerativer Innovation und ein Euro Gewinn aus destruktiver Externalisierung erscheinen steuerlich oft ähnlich. Ein Erbe produktiven Wirkungskapitals und ein Erbe spekulativer Bodenrente können in derselben Logik landen.</w:t>
      </w:r>
    </w:p>
    <w:p>
      <w:pPr>
        <w:spacing w:after="100" w:before="0" w:line="259" w:lineRule="auto"/>
      </w:pPr>
      <w:r>
        <w:rPr>
          <w:rFonts w:ascii="Arial" w:hAnsi="Arial" w:eastAsia="Arial"/>
          <w:b w:val="0"/>
          <w:i w:val="0"/>
          <w:color w:val="23242C"/>
          <w:sz w:val="21"/>
        </w:rPr>
        <w:t>Das erzeugt Fehlanreize: Schädliche Geschäftsmodelle können Folgekosten externalisieren und zugleich Kapitalerträge privatisieren.</w:t>
      </w:r>
    </w:p>
    <w:p>
      <w:pPr>
        <w:spacing w:before="200" w:after="80"/>
      </w:pPr>
      <w:r>
        <w:rPr>
          <w:rFonts w:ascii="Georgia" w:hAnsi="Georgia" w:eastAsia="Georgia"/>
          <w:b/>
          <w:i w:val="0"/>
          <w:color w:val="0B1020"/>
          <w:sz w:val="40"/>
        </w:rPr>
        <w:t>Steuerarchitektur der Wirkungsökonomie</w:t>
      </w:r>
    </w:p>
    <w:p>
      <w:pPr>
        <w:spacing w:after="100" w:before="0" w:line="259" w:lineRule="auto"/>
      </w:pPr>
      <w:r>
        <w:rPr>
          <w:rFonts w:ascii="Arial" w:hAnsi="Arial" w:eastAsia="Arial"/>
          <w:b w:val="0"/>
          <w:i w:val="0"/>
          <w:color w:val="23242C"/>
          <w:sz w:val="21"/>
        </w:rPr>
        <w:t>Das WÖk-Steuerprinzip fragt nicht nur: Wie viel wurde verdient? Sondern: wodurch wurde es verdient, welche Wirkung erzeugt es und welche Rückkopplung ist angemessen?</w:t>
      </w:r>
    </w:p>
    <w:p>
      <w:pPr>
        <w:spacing w:after="100" w:before="0" w:line="259" w:lineRule="auto"/>
      </w:pPr>
      <w:r>
        <w:rPr>
          <w:rFonts w:ascii="Arial" w:hAnsi="Arial" w:eastAsia="Arial"/>
          <w:b w:val="0"/>
          <w:i w:val="0"/>
          <w:color w:val="23242C"/>
          <w:sz w:val="21"/>
        </w:rPr>
        <w:t>Bestehende Steuerarten können durch Wirkungsfaktoren ergänzt werden: Wirkungsklassen, Bonus-Malus-Sätze, Abzugsbeschränkungen, Wirkungsgutschriften, Fondsbeiträge und rote Linien.</w:t>
      </w:r>
    </w:p>
    <w:p>
      <w:pPr>
        <w:spacing w:after="100" w:before="0" w:line="259" w:lineRule="auto"/>
      </w:pPr>
      <w:r>
        <w:rPr>
          <w:rFonts w:ascii="Arial" w:hAnsi="Arial" w:eastAsia="Arial"/>
          <w:b w:val="0"/>
          <w:i w:val="0"/>
          <w:color w:val="23242C"/>
          <w:sz w:val="21"/>
        </w:rPr>
        <w:t>Haushaltsneutralität bleibt politisch wichtig. Die Summe der Einnahmen muss nicht automatisch steigen. Die Verteilung der Lasten verändert sich: positive Wirkung wird entlastet, negative Wirkung trägt mehr Kosten.</w:t>
      </w:r>
    </w:p>
    <w:p>
      <w:pPr>
        <w:spacing w:before="200" w:after="80"/>
      </w:pPr>
      <w:r>
        <w:rPr>
          <w:rFonts w:ascii="Georgia" w:hAnsi="Georgia" w:eastAsia="Georgia"/>
          <w:b/>
          <w:i w:val="0"/>
          <w:color w:val="0B1020"/>
          <w:sz w:val="40"/>
        </w:rPr>
        <w:t>Wirkungskörperschaftsteuer</w:t>
      </w:r>
    </w:p>
    <w:p>
      <w:pPr>
        <w:spacing w:after="100" w:before="0" w:line="259" w:lineRule="auto"/>
      </w:pPr>
      <w:r>
        <w:rPr>
          <w:rFonts w:ascii="Arial" w:hAnsi="Arial" w:eastAsia="Arial"/>
          <w:b w:val="0"/>
          <w:i w:val="0"/>
          <w:color w:val="23242C"/>
          <w:sz w:val="21"/>
        </w:rPr>
        <w:t>Die Körperschaftsteuer könnte eine Wirkungskomponente erhalten. Gewinn bleibt Bemessungsgröße, Wirkung wird Korrekturfaktor.</w:t>
      </w:r>
    </w:p>
    <w:p>
      <w:pPr>
        <w:spacing w:after="100" w:before="0" w:line="259" w:lineRule="auto"/>
      </w:pPr>
      <w:r>
        <w:rPr>
          <w:rFonts w:ascii="Arial" w:hAnsi="Arial" w:eastAsia="Arial"/>
          <w:b w:val="0"/>
          <w:i w:val="0"/>
          <w:color w:val="23242C"/>
          <w:sz w:val="21"/>
        </w:rPr>
        <w:t>Unternehmen mit hoher positiver Netto-Wirkung, guter Datenqualität und glaubwürdigem Transformationspfad könnten entlastet werden. Unternehmen mit negativem NWI, Schadensverlagerung oder fehlender Transparenz tragen höhere Wirkungskomponenten.</w:t>
      </w:r>
    </w:p>
    <w:p>
      <w:pPr>
        <w:spacing w:after="100" w:before="0" w:line="259" w:lineRule="auto"/>
      </w:pPr>
      <w:r>
        <w:rPr>
          <w:rFonts w:ascii="Arial" w:hAnsi="Arial" w:eastAsia="Arial"/>
          <w:b w:val="0"/>
          <w:i w:val="0"/>
          <w:color w:val="23242C"/>
          <w:sz w:val="21"/>
        </w:rPr>
        <w:t>Ziel ist kein Strafsystem, sondern ein Richtungssignal: Gewinne bleiben möglich, aber nicht mehr auf Kosten unsichtbarer Schäden.</w:t>
      </w:r>
    </w:p>
    <w:p>
      <w:pPr>
        <w:spacing w:before="200" w:after="80"/>
      </w:pPr>
      <w:r>
        <w:rPr>
          <w:rFonts w:ascii="Georgia" w:hAnsi="Georgia" w:eastAsia="Georgia"/>
          <w:b/>
          <w:i w:val="0"/>
          <w:color w:val="0B1020"/>
          <w:sz w:val="40"/>
        </w:rPr>
        <w:t>Wirkungsgewerbesteuer</w:t>
      </w:r>
    </w:p>
    <w:p>
      <w:pPr>
        <w:spacing w:after="100" w:before="0" w:line="259" w:lineRule="auto"/>
      </w:pPr>
      <w:r>
        <w:rPr>
          <w:rFonts w:ascii="Arial" w:hAnsi="Arial" w:eastAsia="Arial"/>
          <w:b w:val="0"/>
          <w:i w:val="0"/>
          <w:color w:val="23242C"/>
          <w:sz w:val="21"/>
        </w:rPr>
        <w:t>Die Gewerbesteuer ist kommunal relevant. Unternehmen wirken lokal auf Infrastruktur, Arbeitsmarkt, Umwelt, Verkehr, Gesundheit, Wohnen und Vertrauen.</w:t>
      </w:r>
    </w:p>
    <w:p>
      <w:pPr>
        <w:spacing w:after="100" w:before="0" w:line="259" w:lineRule="auto"/>
      </w:pPr>
      <w:r>
        <w:rPr>
          <w:rFonts w:ascii="Arial" w:hAnsi="Arial" w:eastAsia="Arial"/>
          <w:b w:val="0"/>
          <w:i w:val="0"/>
          <w:color w:val="23242C"/>
          <w:sz w:val="21"/>
        </w:rPr>
        <w:t>Eine Wirkungsgewerbesteuer könnte Standortemissionen, gute Arbeit, Ausbildungsleistung, Flächenverbrauch, Verkehrslast, lokale Beschaffung, Quartierswirkung und Krisenresilienz berücksichtigen.</w:t>
      </w:r>
    </w:p>
    <w:p>
      <w:pPr>
        <w:spacing w:after="100" w:before="0" w:line="259" w:lineRule="auto"/>
      </w:pPr>
      <w:r>
        <w:rPr>
          <w:rFonts w:ascii="Arial" w:hAnsi="Arial" w:eastAsia="Arial"/>
          <w:b w:val="0"/>
          <w:i w:val="0"/>
          <w:color w:val="23242C"/>
          <w:sz w:val="21"/>
        </w:rPr>
        <w:t>Damit profitieren Kommunen nicht nur von Gewerbeertrag, sondern von Unternehmen, die lokale Wirkung und Resilienz stärken.</w:t>
      </w:r>
    </w:p>
    <w:p>
      <w:pPr>
        <w:spacing w:before="200" w:after="80"/>
      </w:pPr>
      <w:r>
        <w:rPr>
          <w:rFonts w:ascii="Georgia" w:hAnsi="Georgia" w:eastAsia="Georgia"/>
          <w:b/>
          <w:i w:val="0"/>
          <w:color w:val="0B1020"/>
          <w:sz w:val="40"/>
        </w:rPr>
        <w:t>Wirkungskapitalsteuer und Vermögen</w:t>
      </w:r>
    </w:p>
    <w:p>
      <w:pPr>
        <w:spacing w:after="100" w:before="0" w:line="259" w:lineRule="auto"/>
      </w:pPr>
      <w:r>
        <w:rPr>
          <w:rFonts w:ascii="Arial" w:hAnsi="Arial" w:eastAsia="Arial"/>
          <w:b w:val="0"/>
          <w:i w:val="0"/>
          <w:color w:val="23242C"/>
          <w:sz w:val="21"/>
        </w:rPr>
        <w:t>Kapitalerträge sind nicht automatisch problematisch. Sie werden problematisch, wenn sie aus Externalisierung, Knappheitsausnutzung, Spekulation oder demokratiegefährdender Machtkonzentration entstehen.</w:t>
      </w:r>
    </w:p>
    <w:p>
      <w:pPr>
        <w:spacing w:after="100" w:before="0" w:line="259" w:lineRule="auto"/>
      </w:pPr>
      <w:r>
        <w:rPr>
          <w:rFonts w:ascii="Arial" w:hAnsi="Arial" w:eastAsia="Arial"/>
          <w:b w:val="0"/>
          <w:i w:val="0"/>
          <w:color w:val="23242C"/>
          <w:sz w:val="21"/>
        </w:rPr>
        <w:t>Eine Wirkungskapitalsteuer könnte Kapitalerträge nach Herkunft und Wirkung differenzieren: Transformationskapital, regenerative Infrastruktur und soziale Innovation werden begünstigt; fossile Lock-ins, spekulative Leerstandsgewinne oder toxische Finanzprodukte werden stärker belastet.</w:t>
      </w:r>
    </w:p>
    <w:p>
      <w:pPr>
        <w:spacing w:after="100" w:before="0" w:line="259" w:lineRule="auto"/>
      </w:pPr>
      <w:r>
        <w:rPr>
          <w:rFonts w:ascii="Arial" w:hAnsi="Arial" w:eastAsia="Arial"/>
          <w:b w:val="0"/>
          <w:i w:val="0"/>
          <w:color w:val="23242C"/>
          <w:sz w:val="21"/>
        </w:rPr>
        <w:t>Bei Vermögen ist nicht allein die Höhe entscheidend, sondern die Wirkung: produktiv, regenerativ, stabilisierend, spekulativ, extraktiv oder machtverzerrend.</w:t>
      </w:r>
    </w:p>
    <w:p>
      <w:pPr>
        <w:spacing w:before="200" w:after="80"/>
      </w:pPr>
      <w:r>
        <w:rPr>
          <w:rFonts w:ascii="Georgia" w:hAnsi="Georgia" w:eastAsia="Georgia"/>
          <w:b/>
          <w:i w:val="0"/>
          <w:color w:val="0B1020"/>
          <w:sz w:val="40"/>
        </w:rPr>
        <w:t>Wirkungserbschaftsteuer</w:t>
      </w:r>
    </w:p>
    <w:p>
      <w:pPr>
        <w:spacing w:after="100" w:before="0" w:line="259" w:lineRule="auto"/>
      </w:pPr>
      <w:r>
        <w:rPr>
          <w:rFonts w:ascii="Arial" w:hAnsi="Arial" w:eastAsia="Arial"/>
          <w:b w:val="0"/>
          <w:i w:val="0"/>
          <w:color w:val="23242C"/>
          <w:sz w:val="21"/>
        </w:rPr>
        <w:t>Erbschaften sind verdichtete Vergangenheit. Sie können Familienunternehmen, Wohnraum, Produktivkapital, Landwirtschaft, Kultur oder Spekulationsvermögen übertragen. Die Wirkung ist sehr unterschiedlich.</w:t>
      </w:r>
    </w:p>
    <w:p>
      <w:pPr>
        <w:spacing w:after="100" w:before="0" w:line="259" w:lineRule="auto"/>
      </w:pPr>
      <w:r>
        <w:rPr>
          <w:rFonts w:ascii="Arial" w:hAnsi="Arial" w:eastAsia="Arial"/>
          <w:b w:val="0"/>
          <w:i w:val="0"/>
          <w:color w:val="23242C"/>
          <w:sz w:val="21"/>
        </w:rPr>
        <w:t>Eine wirkungsorientierte Erbschaftsteuer sollte gute Nachfolge nicht pauschal erschweren. Sie sollte unterscheiden, ob Vermögen positive Wirkung fortsetzt, Gemeinwohlbindungen enthält oder reine Macht- und Rentenpositionen vererbt.</w:t>
      </w:r>
    </w:p>
    <w:p>
      <w:pPr>
        <w:spacing w:after="100" w:before="0" w:line="259" w:lineRule="auto"/>
      </w:pPr>
      <w:r>
        <w:rPr>
          <w:rFonts w:ascii="Arial" w:hAnsi="Arial" w:eastAsia="Arial"/>
          <w:b w:val="0"/>
          <w:i w:val="0"/>
          <w:color w:val="23242C"/>
          <w:sz w:val="21"/>
        </w:rPr>
        <w:t>Möglich sind Wirkungsstundungen, Transformationsauflagen, Fondsanteile, Gemeinwohlbindungen und Unternehmensnachfolge-Schutz bei positiver Wirkung.</w:t>
      </w:r>
    </w:p>
    <w:p>
      <w:pPr>
        <w:spacing w:before="200" w:after="80"/>
      </w:pPr>
      <w:r>
        <w:rPr>
          <w:rFonts w:ascii="Georgia" w:hAnsi="Georgia" w:eastAsia="Georgia"/>
          <w:b/>
          <w:i w:val="0"/>
          <w:color w:val="0B1020"/>
          <w:sz w:val="40"/>
        </w:rPr>
        <w:t>Sozialabgaben-Entkopplung und Maschinenwertschöpfung</w:t>
      </w:r>
    </w:p>
    <w:p>
      <w:pPr>
        <w:spacing w:after="100" w:before="0" w:line="259" w:lineRule="auto"/>
      </w:pPr>
      <w:r>
        <w:rPr>
          <w:rFonts w:ascii="Arial" w:hAnsi="Arial" w:eastAsia="Arial"/>
          <w:b w:val="0"/>
          <w:i w:val="0"/>
          <w:color w:val="23242C"/>
          <w:sz w:val="21"/>
        </w:rPr>
        <w:t>Die alte Kette lautet: Arbeit -&gt; Einkommen -&gt; Sozialabgaben -&gt; Rente, Pflege, Gesundheit. Automatisierung schwächt diese Kette, wenn Wertschöpfung ohne menschliche Lohnsumme wächst.</w:t>
      </w:r>
    </w:p>
    <w:p>
      <w:pPr>
        <w:spacing w:after="100" w:before="0" w:line="259" w:lineRule="auto"/>
      </w:pPr>
      <w:r>
        <w:rPr>
          <w:rFonts w:ascii="Arial" w:hAnsi="Arial" w:eastAsia="Arial"/>
          <w:b w:val="0"/>
          <w:i w:val="0"/>
          <w:color w:val="23242C"/>
          <w:sz w:val="21"/>
        </w:rPr>
        <w:t>Die WÖk bestraft Maschinen nicht. Sie koppelt soziale Sicherung breiter an Wertschöpfung, Kapitalwirkung, Automatisierungsgewinne und Maschinenleistung. Der Maschinenwertschöpfungsbeitrag ist keine Fortschrittsstrafe, sondern Systemrückkopplung.</w:t>
      </w:r>
    </w:p>
    <w:p>
      <w:pPr>
        <w:spacing w:after="100" w:before="0" w:line="259" w:lineRule="auto"/>
      </w:pPr>
      <w:r>
        <w:rPr>
          <w:rFonts w:ascii="Arial" w:hAnsi="Arial" w:eastAsia="Arial"/>
          <w:b w:val="0"/>
          <w:i w:val="0"/>
          <w:color w:val="23242C"/>
          <w:sz w:val="21"/>
        </w:rPr>
        <w:t>Automatisierungsdividenden können in Wirkungsfonds, Wirkungseinkommen, Wirkungsrente, Qualifizierung, Care-Ausgleich und kommunale Transformation fließen.</w:t>
      </w:r>
    </w:p>
    <w:p>
      <w:pPr>
        <w:spacing w:before="200" w:after="80"/>
      </w:pPr>
      <w:r>
        <w:rPr>
          <w:rFonts w:ascii="Georgia" w:hAnsi="Georgia" w:eastAsia="Georgia"/>
          <w:b/>
          <w:i w:val="0"/>
          <w:color w:val="0B1020"/>
          <w:sz w:val="40"/>
        </w:rPr>
        <w:t>Politische Ausgestaltungsspielräume</w:t>
      </w:r>
    </w:p>
    <w:p>
      <w:pPr>
        <w:spacing w:after="100" w:before="0" w:line="259" w:lineRule="auto"/>
      </w:pPr>
      <w:r>
        <w:rPr>
          <w:rFonts w:ascii="Arial" w:hAnsi="Arial" w:eastAsia="Arial"/>
          <w:b w:val="0"/>
          <w:i w:val="0"/>
          <w:color w:val="23242C"/>
          <w:sz w:val="21"/>
        </w:rPr>
        <w:t>Die Ausgestaltung bleibt politisch offen. Liberale Perspektiven können niedrige Basissätze, Transparenz und Innovationsanreize betonen. Sozialdemokratische Perspektiven können Ausgleich und Fonds stärker gewichten. Grüne Perspektiven können Klima- und Ressourcenwirkungen priorisieren. Konservative Perspektiven können Eigentumsverantwortung und Generationenpflicht betonen.</w:t>
      </w:r>
    </w:p>
    <w:p>
      <w:pPr>
        <w:spacing w:after="100" w:before="0" w:line="259" w:lineRule="auto"/>
      </w:pPr>
      <w:r>
        <w:rPr>
          <w:rFonts w:ascii="Arial" w:hAnsi="Arial" w:eastAsia="Arial"/>
          <w:b w:val="0"/>
          <w:i w:val="0"/>
          <w:color w:val="23242C"/>
          <w:sz w:val="21"/>
        </w:rPr>
        <w:t>Entscheidend ist ein gemeinsamer Rahmen: Wirkung sichtbar machen, rote Linien schützen, demokratische Entscheidung erhalten und Übergänge fair gestalten.</w:t>
      </w:r>
    </w:p>
    <w:p>
      <w:pPr>
        <w:spacing w:before="200" w:after="80"/>
      </w:pPr>
      <w:r>
        <w:rPr>
          <w:rFonts w:ascii="Georgia" w:hAnsi="Georgia" w:eastAsia="Georgia"/>
          <w:b/>
          <w:i w:val="0"/>
          <w:color w:val="0B1020"/>
          <w:sz w:val="40"/>
        </w:rPr>
        <w:t>Daten und Missbrauchsschutz</w:t>
      </w:r>
    </w:p>
    <w:p>
      <w:pPr>
        <w:spacing w:after="100" w:before="0" w:line="259" w:lineRule="auto"/>
      </w:pPr>
      <w:r>
        <w:rPr>
          <w:rFonts w:ascii="Arial" w:hAnsi="Arial" w:eastAsia="Arial"/>
          <w:b w:val="0"/>
          <w:i w:val="0"/>
          <w:color w:val="23242C"/>
          <w:sz w:val="21"/>
        </w:rPr>
        <w:t>WÖk-IDs ordnen Wirkungsfelder zu. CSRD/ESRS, EU-Taxonomie, Banken- und Versicherungsdaten, Produktpässe, kommunale Daten und Steuerdaten liefern die Basis. Der Wirkungsrat definiert Benchmarks und Korrekturen.</w:t>
      </w:r>
    </w:p>
    <w:p>
      <w:pPr>
        <w:spacing w:after="100" w:before="0" w:line="259" w:lineRule="auto"/>
      </w:pPr>
      <w:r>
        <w:rPr>
          <w:rFonts w:ascii="Arial" w:hAnsi="Arial" w:eastAsia="Arial"/>
          <w:b w:val="0"/>
          <w:i w:val="0"/>
          <w:color w:val="23242C"/>
          <w:sz w:val="21"/>
        </w:rPr>
        <w:t>Missbrauchsschutz ist zentral: keine Scheintransformation, keine Briefkastenwirkung, keine Auslagerung negativer Wirkung, keine Kompensation roter Linien, keine Personenbewertung und keine automatische Steuerentscheidung ohne Rechtsmittel.</w:t>
      </w:r>
    </w:p>
    <w:p>
      <w:pPr>
        <w:spacing w:after="100" w:before="0" w:line="259" w:lineRule="auto"/>
      </w:pPr>
      <w:r>
        <w:rPr>
          <w:rFonts w:ascii="Arial" w:hAnsi="Arial" w:eastAsia="Arial"/>
          <w:b w:val="0"/>
          <w:i w:val="0"/>
          <w:color w:val="23242C"/>
          <w:sz w:val="21"/>
        </w:rPr>
        <w:t>Jede wirkungsbezogene Steuerkorrektur braucht Einspruchsrechte, Audit, Datenqualitätsklassen, Übergangsfristen und öffentliche Methodik.</w:t>
      </w:r>
    </w:p>
    <w:p>
      <w:pPr>
        <w:spacing w:before="200" w:after="80"/>
      </w:pPr>
      <w:r>
        <w:rPr>
          <w:rFonts w:ascii="Georgia" w:hAnsi="Georgia" w:eastAsia="Georgia"/>
          <w:b/>
          <w:i w:val="0"/>
          <w:color w:val="0B1020"/>
          <w:sz w:val="40"/>
        </w:rPr>
        <w:t>Akteursgruppen</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Akteur</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Interesse</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WÖk-Anschluss</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Unternehmen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Planbarkeit und Investition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Wirkungskörperschaftsteuer, NWI, Transformationspfade</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Kommunen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Gewerbeertrag und Standortwirkung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Wirkungsgewerbesteuer, Wirkungshaushalt</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Kapitalanleger:innen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Ertrag und Risiko</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Wirkungskapitalsteuer, Portfolio-Wirkungsrating</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Erb:innen/Familienunternehmen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Nachfolge und Eigentum</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Wirkungsstundung, Gemeinwohlbindung</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Arbeitnehmer:innen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Sozialschutz und Automatisierung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Sozialabgaben-Entkopplung, Dividende</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Staat/Verwaltung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Vollzug und Rechtsschutz</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WStG-Rahmen, Pilotierung, Einspruchsrechte</w:t>
            </w:r>
          </w:p>
        </w:tc>
      </w:tr>
    </w:tbl>
    <w:p>
      <w:pPr>
        <w:spacing w:after="40"/>
      </w:pPr>
    </w:p>
    <w:p>
      <w:pPr>
        <w:spacing w:before="200" w:after="80"/>
      </w:pPr>
      <w:r>
        <w:rPr>
          <w:rFonts w:ascii="Georgia" w:hAnsi="Georgia" w:eastAsia="Georgia"/>
          <w:b/>
          <w:i w:val="0"/>
          <w:color w:val="0B1020"/>
          <w:sz w:val="40"/>
        </w:rPr>
        <w:t>Tools und Praxis</w:t>
      </w:r>
    </w:p>
    <w:p>
      <w:pPr>
        <w:spacing w:after="100" w:before="0" w:line="259" w:lineRule="auto"/>
      </w:pPr>
      <w:r>
        <w:rPr>
          <w:rFonts w:ascii="Arial" w:hAnsi="Arial" w:eastAsia="Arial"/>
          <w:b w:val="0"/>
          <w:i w:val="0"/>
          <w:color w:val="23242C"/>
          <w:sz w:val="21"/>
        </w:rPr>
        <w:t>Website-Tools: Wirkungskörperschaftsteuer-Simulator, Wirkungsgewerbesteuer-Modul, Maschinenwertschöpfungsbeitrag, Erbschaft-/Vermögenswirkungscheck, Kapitalertrags-Wirkungsmodul und Haushaltsneutralitätsrechner.</w:t>
      </w:r>
    </w:p>
    <w:p>
      <w:pPr>
        <w:spacing w:after="100" w:before="0" w:line="259" w:lineRule="auto"/>
      </w:pPr>
      <w:r>
        <w:rPr>
          <w:rFonts w:ascii="Arial" w:hAnsi="Arial" w:eastAsia="Arial"/>
          <w:b w:val="0"/>
          <w:i w:val="0"/>
          <w:color w:val="23242C"/>
          <w:sz w:val="21"/>
        </w:rPr>
        <w:t>Die Tools sind keine Steuerberatung. Sie zeigen Modelllogiken, Szenarien, Wirkungsdaten, Übergänge und politische Optionen.</w:t>
      </w:r>
    </w:p>
    <w:p>
      <w:pPr>
        <w:spacing w:before="200" w:after="80"/>
      </w:pPr>
      <w:r>
        <w:rPr>
          <w:rFonts w:ascii="Georgia" w:hAnsi="Georgia" w:eastAsia="Georgia"/>
          <w:b/>
          <w:i w:val="0"/>
          <w:color w:val="0B1020"/>
          <w:sz w:val="40"/>
        </w:rPr>
        <w:t>SDG-/SDG+-Bezug</w:t>
      </w:r>
    </w:p>
    <w:p>
      <w:pPr>
        <w:spacing w:after="100" w:before="0" w:line="259" w:lineRule="auto"/>
      </w:pPr>
      <w:r>
        <w:rPr>
          <w:rFonts w:ascii="Arial" w:hAnsi="Arial" w:eastAsia="Arial"/>
          <w:b w:val="0"/>
          <w:i w:val="0"/>
          <w:color w:val="23242C"/>
          <w:sz w:val="21"/>
        </w:rPr>
        <w:t>Relevante SDGs: 1, 8, 9, 10, 11, 12, 13, 16 und 17. SDG+: Demokratie, Rechtsstaatlichkeit, institutionelles Vertrauen und gesellschaftlicher Zusammenhalt. Steuerarchitektur entscheidet, ob Kapitalwirkung belohnt oder negative Wirkung externalisiert wird.</w:t>
      </w:r>
    </w:p>
    <w:p>
      <w:pPr>
        <w:spacing w:before="200" w:after="80"/>
      </w:pPr>
      <w:r>
        <w:rPr>
          <w:rFonts w:ascii="Georgia" w:hAnsi="Georgia" w:eastAsia="Georgia"/>
          <w:b/>
          <w:i w:val="0"/>
          <w:color w:val="0B1020"/>
          <w:sz w:val="40"/>
        </w:rPr>
        <w:t>Beispielhafte Wirkungsfaktoren und Berechnungslogik</w:t>
      </w:r>
    </w:p>
    <w:p>
      <w:pPr>
        <w:spacing w:after="100" w:before="0" w:line="259" w:lineRule="auto"/>
      </w:pPr>
      <w:r>
        <w:rPr>
          <w:rFonts w:ascii="Arial" w:hAnsi="Arial" w:eastAsia="Arial"/>
          <w:b w:val="0"/>
          <w:i w:val="0"/>
          <w:color w:val="23242C"/>
          <w:sz w:val="21"/>
        </w:rPr>
        <w:t>Wirkungsorientierte Kapitalbesteuerung muss nachvollziehbar sein. Der einfachste Ansatz ist ein Wirkungsfaktor, der auf bestehende Bemessungsgrundlagen angewendet wird. Er ersetzt nicht jede Steuerart, sondern ergänzt ihre Richtung.</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Steuerbereich</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Möglicher WÖk-Faktor</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Ziel der Rückkopplung</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Körperschaftsteuer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NWI-/Transformationsfaktor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Gewinne aus positiver Wirkung entlasten, Externalisierung verteuern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Gewerbesteuer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kommunaler Standortwirkungsfaktor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lokale Resilienz, gute Arbeit und Infrastrukturwirkung belohnen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Kapitalerträge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Portfolio-Wirkungsfaktor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Kapitalwirkung von spekulativer Rendite unterscheiden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Vermögen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Wirkungsnutzungsfaktor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produktives und regeneratives Vermögen anders behandeln als extraktive Machtpositionen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Erbschaft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Generationenwirkungsfaktor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Nachfolge, Gemeinwohlbindung und Wirkungspflicht berücksichtigen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Sozialabgaben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Maschinenwertschöpfungsbeitrag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Sicherungssysteme von reiner Lohnsumme entkoppeln</w:t>
            </w:r>
          </w:p>
        </w:tc>
      </w:tr>
    </w:tbl>
    <w:p>
      <w:pPr>
        <w:spacing w:after="40"/>
      </w:pPr>
    </w:p>
    <w:p>
      <w:pPr>
        <w:spacing w:after="100" w:before="0" w:line="259" w:lineRule="auto"/>
      </w:pPr>
      <w:r>
        <w:rPr>
          <w:rFonts w:ascii="Arial" w:hAnsi="Arial" w:eastAsia="Arial"/>
          <w:b w:val="0"/>
          <w:i w:val="0"/>
          <w:color w:val="23242C"/>
          <w:sz w:val="21"/>
        </w:rPr>
        <w:t>Die konkrete Höhe dieser Faktoren ist politisch zu bestimmen. Das Konzept liefert den Rahmen, nicht den fertigen Steuersatz. Dadurch bleibt demokratischer Gestaltungsspielraum erhalten.</w:t>
      </w:r>
    </w:p>
    <w:p>
      <w:pPr>
        <w:spacing w:before="200" w:after="80"/>
      </w:pPr>
      <w:r>
        <w:rPr>
          <w:rFonts w:ascii="Georgia" w:hAnsi="Georgia" w:eastAsia="Georgia"/>
          <w:b/>
          <w:i w:val="0"/>
          <w:color w:val="0B1020"/>
          <w:sz w:val="40"/>
        </w:rPr>
        <w:t>Umsetzungspfad und Pilotierung</w:t>
      </w:r>
    </w:p>
    <w:p>
      <w:pPr>
        <w:pStyle w:val="ListBullet"/>
        <w:spacing w:after="40"/>
      </w:pPr>
      <w:r>
        <w:rPr>
          <w:rFonts w:ascii="Arial" w:hAnsi="Arial" w:eastAsia="Arial"/>
          <w:b w:val="0"/>
          <w:i w:val="0"/>
          <w:color w:val="23242C"/>
          <w:sz w:val="20"/>
        </w:rPr>
        <w:t>Phase 1: Wirkungsfaktoren nur als Berichtsdaten und Simulationsrechner neben bestehendem Steuerrecht anzeigen.</w:t>
      </w:r>
    </w:p>
    <w:p>
      <w:pPr>
        <w:pStyle w:val="ListBullet"/>
        <w:spacing w:after="40"/>
      </w:pPr>
      <w:r>
        <w:rPr>
          <w:rFonts w:ascii="Arial" w:hAnsi="Arial" w:eastAsia="Arial"/>
          <w:b w:val="0"/>
          <w:i w:val="0"/>
          <w:color w:val="23242C"/>
          <w:sz w:val="20"/>
        </w:rPr>
        <w:t>Phase 2: freiwillige Pilotierung für Förderprogramme, öffentliche Beschaffung und Wirkungsfonds.</w:t>
      </w:r>
    </w:p>
    <w:p>
      <w:pPr>
        <w:pStyle w:val="ListBullet"/>
        <w:spacing w:after="40"/>
      </w:pPr>
      <w:r>
        <w:rPr>
          <w:rFonts w:ascii="Arial" w:hAnsi="Arial" w:eastAsia="Arial"/>
          <w:b w:val="0"/>
          <w:i w:val="0"/>
          <w:color w:val="23242C"/>
          <w:sz w:val="20"/>
        </w:rPr>
        <w:t>Phase 3: begrenzte steuerliche Bonus-/Malus-Korridore für datenreiche Sektoren.</w:t>
      </w:r>
    </w:p>
    <w:p>
      <w:pPr>
        <w:pStyle w:val="ListBullet"/>
        <w:spacing w:after="40"/>
      </w:pPr>
      <w:r>
        <w:rPr>
          <w:rFonts w:ascii="Arial" w:hAnsi="Arial" w:eastAsia="Arial"/>
          <w:b w:val="0"/>
          <w:i w:val="0"/>
          <w:color w:val="23242C"/>
          <w:sz w:val="20"/>
        </w:rPr>
        <w:t>Phase 4: Ausweitung auf Körperschaftsteuer, Gewerbesteuer und Kapitalerträge mit Rechtsschutz und Revisionszyklen.</w:t>
      </w:r>
    </w:p>
    <w:p>
      <w:pPr>
        <w:pStyle w:val="ListBullet"/>
        <w:spacing w:after="40"/>
      </w:pPr>
      <w:r>
        <w:rPr>
          <w:rFonts w:ascii="Arial" w:hAnsi="Arial" w:eastAsia="Arial"/>
          <w:b w:val="0"/>
          <w:i w:val="0"/>
          <w:color w:val="23242C"/>
          <w:sz w:val="20"/>
        </w:rPr>
        <w:t>Phase 5: Integration von Automatisierungsdividende und Sozialabgaben-Entkopplung, wenn Daten und Übergangsmechanismen stabil sind.</w:t>
      </w:r>
    </w:p>
    <w:p>
      <w:pPr>
        <w:spacing w:after="100" w:before="0" w:line="259" w:lineRule="auto"/>
      </w:pPr>
      <w:r>
        <w:rPr>
          <w:rFonts w:ascii="Arial" w:hAnsi="Arial" w:eastAsia="Arial"/>
          <w:b w:val="0"/>
          <w:i w:val="0"/>
          <w:color w:val="23242C"/>
          <w:sz w:val="21"/>
        </w:rPr>
        <w:t>Der Übergang darf nicht als Schocklogik erfolgen. Die Wirkungsökonomie ist lernend: Pilotieren, messen, korrigieren und erst dann verbindlicher werden.</w:t>
      </w:r>
    </w:p>
    <w:p>
      <w:pPr>
        <w:spacing w:before="200" w:after="80"/>
      </w:pPr>
      <w:r>
        <w:rPr>
          <w:rFonts w:ascii="Georgia" w:hAnsi="Georgia" w:eastAsia="Georgia"/>
          <w:b/>
          <w:i w:val="0"/>
          <w:color w:val="0B1020"/>
          <w:sz w:val="40"/>
        </w:rPr>
        <w:t>Politische Anschlussfähigkeit und Umsetzungsoptionen</w:t>
      </w:r>
    </w:p>
    <w:p>
      <w:pPr>
        <w:spacing w:after="100" w:before="0" w:line="259" w:lineRule="auto"/>
      </w:pPr>
      <w:r>
        <w:rPr>
          <w:rFonts w:ascii="Arial" w:hAnsi="Arial" w:eastAsia="Arial"/>
          <w:b w:val="0"/>
          <w:i w:val="0"/>
          <w:color w:val="23242C"/>
          <w:sz w:val="21"/>
        </w:rPr>
        <w:t>Die folgenden politischen Anforderungen beschreiben keinen fertigen Parteibeschluss. Sie markieren den Rahmen, damit Wirkungsorientierte Steuer- und Abgabenarchitektur des Kapitals demokratisch, rechtsstaatlich, marktwirtschaftlich anschlussfähig und praktisch umsetzbar wird.</w:t>
      </w:r>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Ebene</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Aufgabe für Politik und Umsetzung</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Aufgabe der Politik</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Rahmen setzen, Datenqualität sichern, Missbrauch verhindern und Übergänge fair gestalten.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Politische Rahmenbedingungen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Rechtssichere Definitionen, unabhängige Prüfung, Schutz kleiner Akteure und europäische Anschlussfähigkeit.</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Ausgestaltungsspielraum</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Tempo, Verbindlichkeit, Förderanteile, Steuerstaffelung, Pilotierung und Härtefallregeln bleiben politisch offen.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Zielkonflikte</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Freiheit und Lenkung, Innovation und Kontrolle, Datenschutz und Transparenz, Kapitalmobilisierung und Spekulationsschutz.</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Rollenverteilung</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EU, Bund, Länder, Kommunen, Aufsicht, Finanzwirtschaft, Unternehmen, Wissenschaft, Zivilgesellschaft und Bürger:innen.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Übergang und Schutz</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Pilotphasen, De-minimis-Regeln, KMU-Schutz, Rechtsschutz, Ombudsstellen und Revisionszyklen.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Evaluation und Korrektur</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Wirkungsberichte, unabhängige Assurance, Wirkungsrat, parlamentarische Kontrolle und öffentliche Konsultation.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Schutz vor Technokratie</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Wirkungsdaten bereiten Entscheidungen vor, ersetzen sie aber nicht.</w:t>
            </w:r>
          </w:p>
        </w:tc>
      </w:tr>
    </w:tbl>
    <w:p>
      <w:pPr>
        <w:spacing w:after="40"/>
      </w:pPr>
    </w:p>
    <w:p>
      <w:pPr>
        <w:spacing w:before="200" w:after="80"/>
      </w:pPr>
      <w:r>
        <w:rPr>
          <w:rFonts w:ascii="Georgia" w:hAnsi="Georgia" w:eastAsia="Georgia"/>
          <w:b/>
          <w:i w:val="0"/>
          <w:color w:val="0B1020"/>
          <w:sz w:val="40"/>
        </w:rPr>
        <w:t>Website- und Portalintegration</w:t>
      </w:r>
    </w:p>
    <w:p>
      <w:pPr>
        <w:spacing w:after="100" w:before="0" w:line="259" w:lineRule="auto"/>
      </w:pPr>
      <w:r>
        <w:rPr>
          <w:rFonts w:ascii="Arial" w:hAnsi="Arial" w:eastAsia="Arial"/>
          <w:b w:val="0"/>
          <w:i w:val="0"/>
          <w:color w:val="23242C"/>
          <w:sz w:val="21"/>
        </w:rPr>
        <w:t>Dieses Detailkonzept sollte vollständig online lesbar sein unter /wirkungsfelder/finanzsystem-kapital/steuer-abgabenarchitektur-kapital/. Der bestehende Portaltext bleibt als Kurzüberblick erhalten; dieses Dokument bildet die Vertiefung.</w:t>
      </w:r>
    </w:p>
    <w:p>
      <w:pPr>
        <w:pStyle w:val="ListBullet"/>
        <w:spacing w:after="40"/>
      </w:pPr>
      <w:r>
        <w:rPr>
          <w:rFonts w:ascii="Arial" w:hAnsi="Arial" w:eastAsia="Arial"/>
          <w:b w:val="0"/>
          <w:i w:val="0"/>
          <w:color w:val="23242C"/>
          <w:sz w:val="20"/>
        </w:rPr>
        <w:t>Online-Volltext mit Inhaltsverzeichnis und Kapitelankern.</w:t>
      </w:r>
    </w:p>
    <w:p>
      <w:pPr>
        <w:pStyle w:val="ListBullet"/>
        <w:spacing w:after="40"/>
      </w:pPr>
      <w:r>
        <w:rPr>
          <w:rFonts w:ascii="Arial" w:hAnsi="Arial" w:eastAsia="Arial"/>
          <w:b w:val="0"/>
          <w:i w:val="0"/>
          <w:color w:val="23242C"/>
          <w:sz w:val="20"/>
        </w:rPr>
        <w:t>Download als DOCX und PDF mit Version, Status und Stand.</w:t>
      </w:r>
    </w:p>
    <w:p>
      <w:pPr>
        <w:pStyle w:val="ListBullet"/>
        <w:spacing w:after="40"/>
      </w:pPr>
      <w:r>
        <w:rPr>
          <w:rFonts w:ascii="Arial" w:hAnsi="Arial" w:eastAsia="Arial"/>
          <w:b w:val="0"/>
          <w:i w:val="0"/>
          <w:color w:val="23242C"/>
          <w:sz w:val="20"/>
        </w:rPr>
        <w:t>Toolkarten zu Kapitalwirkungscheck, Wirkungsfonds-Simulator, Portfolio-Wirkungsrating und Steuer-/Abgabenmodulen.</w:t>
      </w:r>
    </w:p>
    <w:p>
      <w:pPr>
        <w:pStyle w:val="ListBullet"/>
        <w:spacing w:after="40"/>
      </w:pPr>
      <w:r>
        <w:rPr>
          <w:rFonts w:ascii="Arial" w:hAnsi="Arial" w:eastAsia="Arial"/>
          <w:b w:val="0"/>
          <w:i w:val="0"/>
          <w:color w:val="23242C"/>
          <w:sz w:val="20"/>
        </w:rPr>
        <w:t>Querverlinkung zu Staat/Recht, Wirtschaft/Unternehmen, Arbeit/Einkommen, Rente, Produkte/WUStG, Impact Controlling und SDG-/SDG+.</w:t>
      </w:r>
    </w:p>
    <w:p>
      <w:pPr>
        <w:spacing w:before="200" w:after="80"/>
      </w:pPr>
      <w:r>
        <w:rPr>
          <w:rFonts w:ascii="Georgia" w:hAnsi="Georgia" w:eastAsia="Georgia"/>
          <w:b/>
          <w:i w:val="0"/>
          <w:color w:val="0B1020"/>
          <w:sz w:val="40"/>
        </w:rPr>
        <w:t>Quellen und Anschlussstellen</w:t>
      </w:r>
    </w:p>
    <w:p>
      <w:pPr>
        <w:spacing w:after="40" w:before="0" w:line="259" w:lineRule="auto"/>
      </w:pPr>
      <w:r>
        <w:rPr>
          <w:rFonts w:ascii="Arial" w:hAnsi="Arial" w:eastAsia="Arial"/>
          <w:b w:val="0"/>
          <w:i w:val="0"/>
          <w:color w:val="23242C"/>
          <w:sz w:val="21"/>
        </w:rPr>
        <w:t>- Europäische Kommission: EU Taxonomy for sustainable activities - Klassifikationssystem und Transparenztool für nachhaltige wirtschaftliche Aktivitäten.</w:t>
      </w:r>
    </w:p>
    <w:p>
      <w:pPr>
        <w:spacing w:after="40" w:before="0" w:line="259" w:lineRule="auto"/>
      </w:pPr>
      <w:r>
        <w:rPr>
          <w:rFonts w:ascii="Arial" w:hAnsi="Arial" w:eastAsia="Arial"/>
          <w:b w:val="0"/>
          <w:i w:val="0"/>
          <w:color w:val="23242C"/>
          <w:sz w:val="21"/>
        </w:rPr>
        <w:t>- Europäische Kommission: Corporate Sustainability Reporting Directive / ESRS - Nachhaltigkeitsberichterstattung und Datenbasis.</w:t>
      </w:r>
    </w:p>
    <w:p>
      <w:pPr>
        <w:spacing w:after="40" w:before="0" w:line="259" w:lineRule="auto"/>
      </w:pPr>
      <w:r>
        <w:rPr>
          <w:rFonts w:ascii="Arial" w:hAnsi="Arial" w:eastAsia="Arial"/>
          <w:b w:val="0"/>
          <w:i w:val="0"/>
          <w:color w:val="23242C"/>
          <w:sz w:val="21"/>
        </w:rPr>
        <w:t>- European Banking Authority: Guidelines on the management of ESG risks - Identifikation, Messung, Management und Monitoring von ESG-Risiken; Anwendung ab 11.01.2026.</w:t>
      </w:r>
    </w:p>
    <w:p>
      <w:pPr>
        <w:spacing w:after="40" w:before="0" w:line="259" w:lineRule="auto"/>
      </w:pPr>
      <w:r>
        <w:rPr>
          <w:rFonts w:ascii="Arial" w:hAnsi="Arial" w:eastAsia="Arial"/>
          <w:b w:val="0"/>
          <w:i w:val="0"/>
          <w:color w:val="23242C"/>
          <w:sz w:val="21"/>
        </w:rPr>
        <w:t>- EIOPA: Sustainable finance - Nachhaltigkeitsrisiken, Versicherbarkeit, Protection Gaps, grüne Verhaltenstransparenz und Rolle der Versicherungs- und Pensionssektoren.</w:t>
      </w:r>
    </w:p>
    <w:p>
      <w:pPr>
        <w:spacing w:after="40" w:before="0" w:line="259" w:lineRule="auto"/>
      </w:pPr>
      <w:r>
        <w:rPr>
          <w:rFonts w:ascii="Arial" w:hAnsi="Arial" w:eastAsia="Arial"/>
          <w:b w:val="0"/>
          <w:i w:val="0"/>
          <w:color w:val="23242C"/>
          <w:sz w:val="21"/>
        </w:rPr>
        <w:t>- Natalie Weber: Die neue Ordnung des Wohlstands - Kapital, Wirkungsfonds, Portfolio-Wirkung, Versicherbarkeit, Wirkungseinkommen, Wirkungsrente und Steuerarchitektur.</w:t>
      </w:r>
    </w:p>
    <w:p>
      <w:pPr>
        <w:spacing w:after="40" w:before="0" w:line="259" w:lineRule="auto"/>
      </w:pPr>
      <w:r>
        <w:rPr>
          <w:rFonts w:ascii="Arial" w:hAnsi="Arial" w:eastAsia="Arial"/>
          <w:b w:val="0"/>
          <w:i w:val="0"/>
          <w:color w:val="23242C"/>
          <w:sz w:val="21"/>
        </w:rPr>
        <w:t>- Wirkungsökonomie: Führender Begriffsleitfaden v1.0 - Wirkung ist neutral und relational; Bewertung am Rahmen SDGs, Agenda 2030 und SDG+.</w:t>
      </w:r>
    </w:p>
    <w:p>
      <w:pPr>
        <w:spacing w:before="200" w:after="80"/>
      </w:pPr>
      <w:r>
        <w:rPr>
          <w:rFonts w:ascii="Georgia" w:hAnsi="Georgia" w:eastAsia="Georgia"/>
          <w:b/>
          <w:i w:val="0"/>
          <w:color w:val="0B1020"/>
          <w:sz w:val="40"/>
        </w:rPr>
        <w:t>Fazit</w:t>
      </w:r>
    </w:p>
    <w:p>
      <w:pPr>
        <w:spacing w:after="100" w:before="0" w:line="259" w:lineRule="auto"/>
      </w:pPr>
      <w:r>
        <w:rPr>
          <w:rFonts w:ascii="Arial" w:hAnsi="Arial" w:eastAsia="Arial"/>
          <w:b w:val="0"/>
          <w:i w:val="0"/>
          <w:color w:val="23242C"/>
          <w:sz w:val="21"/>
        </w:rPr>
        <w:t>Die Steuer- und Abgabenarchitektur des Kapitals ist der finanzielle Rückkopplungskern der Wirkungsökonomie. Sie richtet Kapital, Vermögen, Erbschaften, Unternehmensgewinne und Maschinenwertschöpfung auf positive Netto-Wirkung aus.</w:t>
      </w:r>
    </w:p>
    <w:p>
      <w:pPr>
        <w:spacing w:after="100" w:before="160" w:line="259" w:lineRule="auto"/>
      </w:pPr>
      <w:r>
        <w:rPr>
          <w:rFonts w:ascii="Arial" w:hAnsi="Arial" w:eastAsia="Arial"/>
          <w:b w:val="0"/>
          <w:i/>
          <w:color w:val="6E6E6E"/>
          <w:sz w:val="17"/>
        </w:rPr>
        <w:t>Hinweis: Dieses Dokument ist eine konzeptionelle Arbeitsfassung. Es ersetzt keine Rechts-, Steuer-, Anlage-, Versicherungs- oder Finanzberatung.</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eastAsia="Arial"/>
        <w:b w:val="0"/>
        <w:i w:val="0"/>
        <w:color w:val="6E6E6E"/>
        <w:sz w:val="16"/>
      </w:rPr>
      <w:t>Detailkonzept · Finanzsystem &amp; Kapital · Go 14 · 35</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
      <w:rPr>
        <w:rFonts w:ascii="Arial" w:hAnsi="Arial" w:eastAsia="Arial"/>
        <w:b/>
        <w:i w:val="0"/>
        <w:color w:val="2F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324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