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Digitale Produktpässe als Produktgedächtnis</w:t>
      </w:r>
    </w:p>
    <w:p>
      <w:pPr>
        <w:jc w:val="center"/>
      </w:pPr>
      <w:r>
        <w:rPr>
          <w:color w:val="1F6F68"/>
          <w:sz w:val="26"/>
        </w:rPr>
        <w:t>Produktwirkung über Rohstoff, Herstellung, Nutzung, Reparatur und Ende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Digitale Produktpässe als Produktgedächtnis</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Digitale Produktpässe als Produktgedächtnis als Fachunterbereich von Rang 17. Es ist eine Langfassung für Website, Akademie, Download und politische Anschlussfähigkeit. Der Fokus liegt auf Produktwirkung über Rohstoff, Herstellung, Nutzung, Reparatur und Ende.</w:t>
      </w:r>
    </w:p>
    <w:p>
      <w:pPr>
        <w:pStyle w:val="Heading1"/>
      </w:pPr>
      <w:r>
        <w:t>2. Ausgangsproblem</w:t>
      </w:r>
    </w:p>
    <w:p>
      <w:r>
        <w:t>DPP, WÖk-ID, Datenqualität und Wirkungsscanner für Produktwirkung wird häufig zu eng verstanden. Entweder erscheint es als technisches Tool, als Compliance-Pflicht oder als Innovationsversprechen. Für die Wirkungsökonomie reicht das nicht. Der zentrale Maßstab ist, ob DPP, WÖk-ID, Datenqualität und Wirkungsscanner für Produktwirkung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DPP, WÖk-ID, Datenqualität und Wirkungsscanner für Produktwirkung muss in der Wirkungsökonomie nicht nur technisch, sondern systemisch gelesen werden. Der Aspekt Produkttransparenz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DPP, WÖk-ID, Datenqualität und Wirkungsscanner für Produktwirkung braucht Produkttransparenz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DPP, WÖk-ID, Datenqualität und Wirkungsscanner für Produktwirkung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DPP, WÖk-ID, Datenqualität und Wirkungsscanner für Produktwirkung. In einer oberflächlichen Digitalisierungslogik zählt, ob das Dashboard modern aussieht und Daten zusammenführt. In der Wirkungsökonomie zählt, ob Produkttransparenz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Digitale Produktpässe als Produktgedächtnis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