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08D57"/>
          <w:sz w:val="22"/>
        </w:rPr>
        <w:t>WIRKUNGSÖKONOMIE</w:t>
      </w:r>
    </w:p>
    <w:p>
      <w:pPr>
        <w:jc w:val="center"/>
      </w:pPr>
      <w:r>
        <w:rPr>
          <w:b/>
          <w:color w:val="123B5D"/>
          <w:sz w:val="46"/>
        </w:rPr>
        <w:t>Detailkonzept - KI-Governance</w:t>
      </w:r>
    </w:p>
    <w:p>
      <w:pPr>
        <w:jc w:val="center"/>
      </w:pPr>
      <w:r>
        <w:rPr>
          <w:color w:val="1F6F68"/>
          <w:sz w:val="26"/>
        </w:rPr>
        <w:t>KI-Systeme in Verwaltung, Unternehmen, Forschung und Plattformen</w:t>
      </w:r>
    </w:p>
    <w:p/>
    <w:tbl>
      <w:tblPr>
        <w:tblW w:type="auto" w:w="0"/>
        <w:jc w:val="center"/>
        <w:tblLook w:firstColumn="1" w:firstRow="1" w:lastColumn="0" w:lastRow="0" w:noHBand="0" w:noVBand="1" w:val="04A0"/>
      </w:tblPr>
      <w:tblGrid>
        <w:gridCol w:w="5040"/>
        <w:gridCol w:w="5040"/>
      </w:tblGrid>
      <w:tr>
        <w:tc>
          <w:tcPr>
            <w:tcW w:type="dxa" w:w="5040"/>
            <w:shd w:fill="F5F7F6"/>
          </w:tcPr>
          <w:p>
            <w:r>
              <w:t>Autorin</w:t>
            </w:r>
          </w:p>
        </w:tc>
        <w:tc>
          <w:tcPr>
            <w:tcW w:type="dxa" w:w="5040"/>
          </w:tcPr>
          <w:p>
            <w:r>
              <w:t>Natalie Weber</w:t>
            </w:r>
          </w:p>
        </w:tc>
      </w:tr>
      <w:tr>
        <w:tc>
          <w:tcPr>
            <w:tcW w:type="dxa" w:w="5040"/>
            <w:shd w:fill="F5F7F6"/>
          </w:tcPr>
          <w:p>
            <w:r>
              <w:t>Referenz</w:t>
            </w:r>
          </w:p>
        </w:tc>
        <w:tc>
          <w:tcPr>
            <w:tcW w:type="dxa" w:w="5040"/>
          </w:tcPr>
          <w:p>
            <w:r>
              <w:t>Wirkungsökonomie</w:t>
            </w:r>
          </w:p>
        </w:tc>
      </w:tr>
      <w:tr>
        <w:tc>
          <w:tcPr>
            <w:tcW w:type="dxa" w:w="5040"/>
            <w:shd w:fill="F5F7F6"/>
          </w:tcPr>
          <w:p>
            <w:r>
              <w:t>Version</w:t>
            </w:r>
          </w:p>
        </w:tc>
        <w:tc>
          <w:tcPr>
            <w:tcW w:type="dxa" w:w="5040"/>
          </w:tcPr>
          <w:p>
            <w:r>
              <w:t>1.0</w:t>
            </w:r>
          </w:p>
        </w:tc>
      </w:tr>
      <w:tr>
        <w:tc>
          <w:tcPr>
            <w:tcW w:type="dxa" w:w="5040"/>
            <w:shd w:fill="F5F7F6"/>
          </w:tcPr>
          <w:p>
            <w:r>
              <w:t>Stand</w:t>
            </w:r>
          </w:p>
        </w:tc>
        <w:tc>
          <w:tcPr>
            <w:tcW w:type="dxa" w:w="5040"/>
          </w:tcPr>
          <w:p>
            <w:r>
              <w:t>Mai 2026</w:t>
            </w:r>
          </w:p>
        </w:tc>
      </w:tr>
      <w:tr>
        <w:tc>
          <w:tcPr>
            <w:tcW w:type="dxa" w:w="5040"/>
            <w:shd w:fill="F5F7F6"/>
          </w:tcPr>
          <w:p>
            <w:r>
              <w:t>Status</w:t>
            </w:r>
          </w:p>
        </w:tc>
        <w:tc>
          <w:tcPr>
            <w:tcW w:type="dxa" w:w="5040"/>
          </w:tcPr>
          <w:p>
            <w:r>
              <w:t>Langfassungsentwurf</w:t>
            </w:r>
          </w:p>
        </w:tc>
      </w:tr>
    </w:tbl>
    <w:p>
      <w:pPr>
        <w:pStyle w:val="Heading1"/>
      </w:pPr>
      <w:r>
        <w:t>Kurzfassung</w:t>
      </w:r>
    </w:p>
    <w:p>
      <w:r>
        <w:t>Langfassung zu KI-Governance</w:t>
      </w:r>
    </w:p>
    <w:p>
      <w:pPr>
        <w:pStyle w:val="Heading1"/>
      </w:pPr>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Pr>
        <w:pStyle w:val="Heading1"/>
      </w:pPr>
      <w:r>
        <w:t>1. Executive Summary</w:t>
      </w:r>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r>
        <w:t>Dieses Detailkonzept behandelt KI-Governance als Fachunterbereich von Rang 17. Es ist eine Langfassung für Website, Akademie, Download und politische Anschlussfähigkeit. Der Fokus liegt auf KI-Systeme in Verwaltung, Unternehmen, Forschung und Plattformen.</w:t>
      </w:r>
    </w:p>
    <w:p>
      <w:pPr>
        <w:pStyle w:val="Heading1"/>
      </w:pPr>
      <w:r>
        <w:t>2. Ausgangsproblem</w:t>
      </w:r>
    </w:p>
    <w:p>
      <w:r>
        <w:t>KI als Werkzeug der Wirkung, nicht als neuer Kompass wird häufig zu eng verstanden. Entweder erscheint es als technisches Tool, als Compliance-Pflicht oder als Innovationsversprechen. Für die Wirkungsökonomie reicht das nicht. Der zentrale Maßstab ist, ob KI als Werkzeug der Wirkung, nicht als neuer Kompass Wirkungsblindheit reduziert oder verstärkt.</w:t>
      </w:r>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Pr>
        <w:pStyle w:val="Heading1"/>
      </w:pPr>
      <w:r>
        <w:t>3. Wirkungsraum</w:t>
      </w:r>
    </w:p>
    <w:p>
      <w:r>
        <w:t>KI als Werkzeug der Wirkung, nicht als neuer Kompass muss in der Wirkungsökonomie nicht nur technisch, sondern systemisch gelesen werden. Der Aspekt Verantwortung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Pr>
        <w:pStyle w:val="Heading1"/>
      </w:pPr>
      <w:r>
        <w:t>4. Wirkungsmechanismen</w:t>
      </w:r>
    </w:p>
    <w:p>
      <w:r>
        <w:t>Für KI als Werkzeug der Wirkung, nicht als neuer Kompass braucht Verantwortung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Pr>
        <w:pStyle w:val="Heading1"/>
      </w:pPr>
      <w:r>
        <w:t>5. Datenarchitektur</w:t>
      </w:r>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Pr>
        <w:pStyle w:val="Heading1"/>
      </w:pPr>
      <w:r>
        <w:t>6. Indikatoren und Scorelogik</w:t>
      </w:r>
    </w:p>
    <w:p>
      <w:r>
        <w:t>Mögliche Indikatoren für KI als Werkzeug der Wirkung, nicht als neuer Kompass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Pr>
        <w:pStyle w:val="Heading1"/>
      </w:pPr>
      <w:r>
        <w:t>7. Beispielhafte Anwendung</w:t>
      </w:r>
    </w:p>
    <w:p>
      <w:r>
        <w:t>Ein Beispiel: Eine Kommune, ein Unternehmen oder eine öffentliche Beschaffung nutzt ein digitales Dashboard zu KI als Werkzeug der Wirkung, nicht als neuer Kompass. In einer oberflächlichen Digitalisierungslogik zählt, ob das Dashboard modern aussieht und Daten zusammenführt. In der Wirkungsökonomie zählt, ob Verantwortung dadurch besser gesteuert wird: Werden Risiken früher erkannt? Werden Betroffene geschützt? Sinkt Bürokratie? Werden Entscheidungen erklärbar? Gibt es analoge Ausweichwege? Können falsche Daten korrigiert werden? Wird die Wirkung öffentlich verständlich?</w:t>
      </w:r>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Pr>
        <w:pStyle w:val="Heading1"/>
      </w:pPr>
      <w:r>
        <w:t>8. Governance und Verantwortung</w:t>
      </w:r>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Pr>
        <w:pStyle w:val="Heading1"/>
      </w:pPr>
      <w:r>
        <w:t>9. Zielkonflikte</w:t>
      </w:r>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r>
        <w:t>Wichtig ist, dass Zielkonflikte nicht als Ausrede für Nicht-Handeln dienen. Auch Nicht-Handeln erzeugt Wirkung: unsichtbare Lieferkettenrisiken, unklare KI-Haftung, wachsende Plattformmacht oder schwache Cyberresilienz.</w:t>
      </w:r>
    </w:p>
    <w:p>
      <w:pPr>
        <w:pStyle w:val="Heading1"/>
      </w:pPr>
      <w:r>
        <w:t>10. Umsetzungspfad</w:t>
      </w:r>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Pr>
        <w:pStyle w:val="Heading1"/>
      </w:pPr>
      <w:r>
        <w:t>11. Berechnungslogik und Datenformel</w:t>
      </w:r>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r>
        <w:t>Die Reverse Merit Order schützt vor Schönrechnung. Ein digitales System darf nicht als positiv gelten, wenn es zwar Effizienz erzeugt, aber Rechtsschutz ausschließt, Diskriminierung automatisiert, Daten unprüfbar macht oder Cyberrisiken ignoriert.</w:t>
      </w:r>
    </w:p>
    <w:p>
      <w:pPr>
        <w:pStyle w:val="Heading1"/>
      </w:pPr>
      <w:r>
        <w:t>12. Datenquellen im Detail</w:t>
      </w:r>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r>
        <w:t>Datenquellen brauchen Verantwortliche. Wer Daten liefert, wer sie prüft, wer sie verändert und wer sie nutzt, muss nachvollziehbar sein. Ohne Verantwortlichkeit entsteht keine Wirkungsarchitektur, sondern eine Datenkulisse.</w:t>
      </w:r>
    </w:p>
    <w:p>
      <w:pPr>
        <w:pStyle w:val="Heading1"/>
      </w:pPr>
      <w:r>
        <w:t>13. Rollenverteilung</w:t>
      </w:r>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r>
        <w:t>Die Rollenverteilung verhindert, dass digitale Infrastruktur politisch unsichtbar wird. Wer Wirkung steuert, übt Macht aus. Diese Macht muss demokratisch begrenzt und fachlich geprüft werden.</w:t>
      </w:r>
    </w:p>
    <w:p>
      <w:pPr>
        <w:pStyle w:val="Heading1"/>
      </w:pPr>
      <w:r>
        <w:t>14. Praxisbeispiel 1 - Öffentliche Beschaffung</w:t>
      </w:r>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r>
        <w:t>Das Beispiel zeigt, dass digitale Wirkungsdaten nicht nur Nachhaltigkeitsberichte füllen. Sie verändern Beschaffung, Lebenszykluskosten, Risiko und öffentliche Verantwortung.</w:t>
      </w:r>
    </w:p>
    <w:p>
      <w:pPr>
        <w:pStyle w:val="Heading1"/>
      </w:pPr>
      <w:r>
        <w:t>15. Praxisbeispiel 2 - Unternehmen und Lieferkette</w:t>
      </w:r>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r>
        <w:t>Die Wirkung entsteht erst, wenn die Daten in Einkauf, Produktentwicklung, Finanzierung und Management zurückkehren. Ein Datenraum ohne Rückkopplung wäre nur ein weiteres Archiv. Ein Datenraum mit Rückkopplung verändert Handlungen.</w:t>
      </w:r>
    </w:p>
    <w:p>
      <w:r>
        <w:t>Auch hier gilt Schutz vor Ausschluss: Kleine Lieferant:innen dürfen nicht automatisch verdrängt werden, nur weil ihre Datenqualität niedriger ist. Sie brauchen Übergangsfristen und Unterstützung, solange keine schweren roten Linien verletzt sind.</w:t>
      </w:r>
    </w:p>
    <w:p>
      <w:pPr>
        <w:pStyle w:val="Heading1"/>
      </w:pPr>
      <w:r>
        <w:t>16. Praxisbeispiel 3 - Bürger:innen und Wirkungsscanner</w:t>
      </w:r>
    </w:p>
    <w:p>
      <w:r>
        <w:t>Bürger:innen können nicht vor jedem Kauf eine Lebenszyklusanalyse lesen. Der Wirkungsscanner übersetzt komplexe Produktdaten in verständliche Signale. Er zeigt Wirkungsklasse, Datenqualität, wichtigste Risiken, Verbesserungsoptionen und Unsicherheit.</w:t>
      </w:r>
    </w:p>
    <w:p>
      <w:r>
        <w:t>Der Scanner darf keine Menschen bewerten. Er bewertet Produkte, Angebote oder öffentliche Maßnahmen. Er darf nicht tracken, wer was kauft, um daraus Personenprofile zu bauen. Die Wirkungsökonomie trennt Produktwirkung von Personenbewertung.</w:t>
      </w:r>
    </w:p>
    <w:p>
      <w:r>
        <w:t>Damit stärkt der Scanner Freiheit. Menschen erhalten bessere Informationen, ohne moralisch überfordert oder überwacht zu werden.</w:t>
      </w:r>
    </w:p>
    <w:p>
      <w:pPr>
        <w:pStyle w:val="Heading1"/>
      </w:pPr>
      <w:r>
        <w:t>17. Risikomatrix</w:t>
      </w:r>
    </w:p>
    <w:p>
      <w:r>
        <w:t>Die wichtigsten Risiken sind Datenmanipulation, Scheingenauigkeit, zentrale Datenmacht, Diskriminierung, Cyberangriffe, falsche Automatisierung, Überlastung kleiner Akteure, unklare Haftung und politische Vereinnahmung. Jedes Risiko braucht Gegenmaßnahmen.</w:t>
      </w:r>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r>
        <w:t>Die Risikomatrix gehört auf die Website, weil sie Vertrauen schafft. Ein System, das seine eigenen Risiken offenlegt, wirkt glaubwürdiger als ein System, das technische Perfektion behauptet.</w:t>
      </w:r>
    </w:p>
    <w:p>
      <w:pPr>
        <w:pStyle w:val="Heading1"/>
      </w:pPr>
      <w:r>
        <w:t>18. Finanzsystem, Versicherung und Kapitalzugang</w:t>
      </w:r>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r>
        <w:t>Diese Logik darf nicht zur automatischen Kapitalbestrafung kleiner Akteure führen. Deshalb braucht es Übergang, Beratung, Standardwerte und proportionale Prüfungen.</w:t>
      </w:r>
    </w:p>
    <w:p>
      <w:pPr>
        <w:pStyle w:val="Heading1"/>
      </w:pPr>
      <w:r>
        <w:t>19. Evaluation und Korrektur</w:t>
      </w:r>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r>
        <w:t>Korrektur ist Pflicht. Wenn ein Indikator falsche Anreize setzt, muss er angepasst werden. Wenn ein Modell diskriminiert, muss es gestoppt oder überarbeitet werden. Wenn ein Datenraum Macht konzentriert, müssen Rollen und Rechte verändert werden.</w:t>
      </w:r>
    </w:p>
    <w:p>
      <w:r>
        <w:t>Versionierung ist kein Nebenthema. Jede Änderung an Scorecards, WÖk-IDs, Datenklassen oder Bewertungsschwellen muss nachvollziehbar sein. Nur so bleibt demokratische Kontrolle möglich.</w:t>
      </w:r>
    </w:p>
    <w:p>
      <w:pPr>
        <w:pStyle w:val="Heading1"/>
      </w:pPr>
      <w:r>
        <w:t>20. Politische Anschlussfähigkeit</w:t>
      </w:r>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Pr>
        <w:pStyle w:val="Heading1"/>
      </w:pPr>
      <w:r>
        <w:t>21. SDG-/SDG+-Bezug</w:t>
      </w:r>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Pr>
        <w:pStyle w:val="Heading1"/>
      </w:pPr>
      <w:r>
        <w:t>22. Website- und Downloadfassung</w:t>
      </w:r>
    </w:p>
    <w:p>
      <w:r>
        <w:t>Die Websitefassung zu KI-Governance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r>
        <w:t>Die Downloadfassung muss im Corporate Design der Wirkungsökonomie erscheinen. Pflichtangaben: Titel, Untertitel, Autorin Natalie Weber, Referenz Wirkungsökonomie, Version, Stand, Status, Kurzfassung, Inhaltsverzeichnis, Quellen, Glossarlinks und Hinweis auf die Onlinefassung.</w:t>
      </w:r>
    </w:p>
    <w:p>
      <w:pPr>
        <w:pStyle w:val="Heading1"/>
      </w:pPr>
      <w:r>
        <w:t>23. Quellenrahmen</w:t>
      </w:r>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Pr>
        <w:pStyle w:val="Heading1"/>
      </w:pPr>
      <w:r>
        <w:t>Quellen und Anschlussstellen</w:t>
      </w:r>
    </w:p>
    <w:p>
      <w:pPr>
        <w:pStyle w:val="Heading2"/>
      </w:pPr>
      <w:r>
        <w:t>Interne Quellen</w:t>
      </w:r>
    </w:p>
    <w:p>
      <w:pPr>
        <w:pStyle w:val="ListBullet"/>
      </w:pPr>
      <w:r>
        <w:t>Natalie Weber: Führender Begriffsleitfaden der Wirkungsökonomie, Version 1.0, Stand 21. Mai 2026.</w:t>
      </w:r>
    </w:p>
    <w:p>
      <w:pPr>
        <w:pStyle w:val="ListBullet"/>
      </w:pPr>
      <w:r>
        <w:t>Natalie Weber: Die neue Ordnung des Wohlstands. Das Standardwerk der Wirkungsökonomie, Manuskriptfassung 2026, Teil XIII - Digitalisierung, KI und Wirkungsdatenräume.</w:t>
      </w:r>
    </w:p>
    <w:p>
      <w:pPr>
        <w:pStyle w:val="ListBullet"/>
      </w:pPr>
      <w:r>
        <w:t>Natalie Weber: Systemmodell der Wirkungsökonomie. Die systemische Ordnungskarte Mensch-Planet-Demokratie, 2025.</w:t>
      </w:r>
    </w:p>
    <w:p>
      <w:pPr>
        <w:pStyle w:val="ListBullet"/>
      </w:pPr>
      <w:r>
        <w:t>Natalie Weber: Technische Leitlinien zum Wirkungssteuergesetz (WUStG), Vollversion Extended, August 2025.</w:t>
      </w:r>
    </w:p>
    <w:p>
      <w:pPr>
        <w:pStyle w:val="ListBullet"/>
      </w:pPr>
      <w:r>
        <w:t>Natalie Weber: WP Produkte - Produktbesteuerung durch Wirkung, 2025.</w:t>
      </w:r>
    </w:p>
    <w:p>
      <w:pPr>
        <w:pStyle w:val="ListBullet"/>
      </w:pPr>
      <w:r>
        <w:t>Natalie Weber: Wirkungsoekonomie in der Lieferkette, September 2025.</w:t>
      </w:r>
    </w:p>
    <w:p>
      <w:pPr>
        <w:pStyle w:val="Heading2"/>
      </w:pPr>
      <w:r>
        <w:t>Externe Anschlussstellen</w:t>
      </w:r>
    </w:p>
    <w:p>
      <w:pPr>
        <w:pStyle w:val="ListBullet"/>
      </w:pPr>
      <w:r>
        <w:t>European Commission: AI Act - Shaping Europe's digital future. Offizielle Informationen zum EU AI Act, Inkrafttreten 1. August 2024, stufenweise Anwendung bis 2026 und GPAI-Pflichten ab 2025.</w:t>
      </w:r>
    </w:p>
    <w:p>
      <w:pPr>
        <w:pStyle w:val="ListBullet"/>
      </w:pPr>
      <w:r>
        <w:t>European Commission: Digital Product Passport unter der Ecodesign for Sustainable Products Regulation (ESPR), Informationen 2024/2025.</w:t>
      </w:r>
    </w:p>
    <w:p>
      <w:pPr>
        <w:pStyle w:val="ListBullet"/>
      </w:pPr>
      <w:r>
        <w:t>EUR-Lex: Regulation (EU) 2023/2854 - Data Act, harmonised rules on fair access to and use of data.</w:t>
      </w:r>
    </w:p>
    <w:p>
      <w:pPr>
        <w:pStyle w:val="ListBullet"/>
      </w:pPr>
      <w:r>
        <w:t>EUR-Lex: Regulation (EU) 2022/868 - Data Governance Act, European data governance and common European data spaces.</w:t>
      </w:r>
    </w:p>
    <w:p>
      <w:pPr>
        <w:pStyle w:val="ListBullet"/>
      </w:pPr>
      <w:r>
        <w:t>EUR-Lex: Regulation (EU) 2024/2847 - Cyber Resilience Act, horizontal cybersecurity requirements for products with digital elements.</w:t>
      </w:r>
    </w:p>
    <w:p>
      <w:pPr>
        <w:pStyle w:val="ListBullet"/>
      </w:pPr>
      <w:r>
        <w:t>NIST: Artificial Intelligence Risk Management Framework, 2023; NIST Cybersecurity Framework 2.0, 2024.</w:t>
      </w:r>
    </w:p>
    <w:p>
      <w:pPr>
        <w:pStyle w:val="ListBullet"/>
      </w:pPr>
      <w:r>
        <w:t>United Nations: Transforming our world - The 2030 Agenda for Sustainable Development and Sustainable Development Goals.</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Autorin: Natalie Weber | Referenz: Wirkungsökonomie | Version 1.0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1F6F68"/>
        <w:sz w:val="16"/>
      </w:rPr>
      <w:t>Wirkungsökonomie - Rang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23B5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6F6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B08D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23B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