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Algorithmische Fairness und digitale Rechte</w:t>
      </w:r>
    </w:p>
    <w:p>
      <w:pPr>
        <w:jc w:val="center"/>
      </w:pPr>
      <w:r>
        <w:rPr>
          <w:color w:val="1F6F68"/>
          <w:sz w:val="26"/>
        </w:rPr>
        <w:t>algorithmische Entscheidungen in Arbeit, Bildung, Wohnen, Kredit, Plattformen und Verwaltung</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Algorithmische Fairness und digitale Rechte</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Algorithmische Fairness und digitale Rechte als Fachunterbereich von Rang 17. Es ist eine Langfassung für Website, Akademie, Download und politische Anschlussfähigkeit. Der Fokus liegt auf algorithmische Entscheidungen in Arbeit, Bildung, Wohnen, Kredit, Plattformen und Verwaltung.</w:t>
      </w:r>
    </w:p>
    <w:p>
      <w:pPr>
        <w:pStyle w:val="Heading1"/>
      </w:pPr>
      <w:r>
        <w:t>2. Ausgangsproblem</w:t>
      </w:r>
    </w:p>
    <w:p>
      <w:r>
        <w:t>Schutz vor Sortierung, Ausschluss und Manipulation wird häufig zu eng verstanden. Entweder erscheint es als technisches Tool, als Compliance-Pflicht oder als Innovationsversprechen. Für die Wirkungsökonomie reicht das nicht. Der zentrale Maßstab ist, ob Schutz vor Sortierung, Ausschluss und Manipulation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Schutz vor Sortierung, Ausschluss und Manipulation muss in der Wirkungsökonomie nicht nur technisch, sondern systemisch gelesen werden. Der Aspekt Fairness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Schutz vor Sortierung, Ausschluss und Manipulation braucht Fairness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Schutz vor Sortierung, Ausschluss und Manipulation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Schutz vor Sortierung, Ausschluss und Manipulation. In einer oberflächlichen Digitalisierungslogik zählt, ob das Dashboard modern aussieht und Daten zusammenführt. In der Wirkungsökonomie zählt, ob Fairness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Algorithmische Fairness und digitale Rechte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