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Digitale Souveränität</w:t>
      </w:r>
    </w:p>
    <w:p>
      <w:pPr>
        <w:jc w:val="center"/>
      </w:pPr>
      <w:r>
        <w:rPr>
          <w:color w:val="1F6F68"/>
          <w:sz w:val="26"/>
        </w:rPr>
        <w:t>öffentliche digitale Infrastruktur, offene Standards und europäische Datenräume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Digitale Souveränität</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Digitale Souveränität als Fachunterbereich von Rang 17. Es ist eine Langfassung für Website, Akademie, Download und politische Anschlussfähigkeit. Der Fokus liegt auf öffentliche digitale Infrastruktur, offene Standards und europäische Datenräume.</w:t>
      </w:r>
    </w:p>
    <w:p>
      <w:pPr>
        <w:pStyle w:val="Heading1"/>
      </w:pPr>
      <w:r>
        <w:t>2. Ausgangsproblem</w:t>
      </w:r>
    </w:p>
    <w:p>
      <w:r>
        <w:t>Daten, Infrastrukturen und Standards als demokratische Gestaltungsräume wird häufig zu eng verstanden. Entweder erscheint es als technisches Tool, als Compliance-Pflicht oder als Innovationsversprechen. Für die Wirkungsökonomie reicht das nicht. Der zentrale Maßstab ist, ob Daten, Infrastrukturen und Standards als demokratische Gestaltungsräume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Digitale Souveränität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