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B08D57"/>
          <w:sz w:val="22"/>
        </w:rPr>
        <w:t>WIRKUNGSÖKONOMIE</w:t>
      </w:r>
    </w:p>
    <w:p>
      <w:pPr>
        <w:jc w:val="center"/>
      </w:pPr>
      <w:r>
        <w:rPr>
          <w:b/>
          <w:color w:val="123B5D"/>
          <w:sz w:val="46"/>
        </w:rPr>
        <w:t>Wirkungsindikatoren Rang 17</w:t>
      </w:r>
    </w:p>
    <w:p>
      <w:pPr>
        <w:jc w:val="center"/>
      </w:pPr>
      <w:r>
        <w:rPr>
          <w:color w:val="1F6F68"/>
          <w:sz w:val="26"/>
        </w:rPr>
        <w:t>WÖk-IDs, Datenqualität und digitale Wirkungsarchitektur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5F7F6"/>
          </w:tcPr>
          <w:p>
            <w:r>
              <w:t>Autorin</w:t>
            </w:r>
          </w:p>
        </w:tc>
        <w:tc>
          <w:tcPr>
            <w:tcW w:type="dxa" w:w="5040"/>
          </w:tcPr>
          <w:p>
            <w:r>
              <w:t>Natalie Weber</w:t>
            </w:r>
          </w:p>
        </w:tc>
      </w:tr>
      <w:tr>
        <w:tc>
          <w:tcPr>
            <w:tcW w:type="dxa" w:w="5040"/>
            <w:shd w:fill="F5F7F6"/>
          </w:tcPr>
          <w:p>
            <w:r>
              <w:t>Referenz</w:t>
            </w:r>
          </w:p>
        </w:tc>
        <w:tc>
          <w:tcPr>
            <w:tcW w:type="dxa" w:w="5040"/>
          </w:tcPr>
          <w:p>
            <w:r>
              <w:t>Wirkungsökonomie</w:t>
            </w:r>
          </w:p>
        </w:tc>
      </w:tr>
      <w:tr>
        <w:tc>
          <w:tcPr>
            <w:tcW w:type="dxa" w:w="5040"/>
            <w:shd w:fill="F5F7F6"/>
          </w:tcPr>
          <w:p>
            <w:r>
              <w:t>Version</w:t>
            </w:r>
          </w:p>
        </w:tc>
        <w:tc>
          <w:tcPr>
            <w:tcW w:type="dxa" w:w="5040"/>
          </w:tcPr>
          <w:p>
            <w:r>
              <w:t>1.0</w:t>
            </w:r>
          </w:p>
        </w:tc>
      </w:tr>
      <w:tr>
        <w:tc>
          <w:tcPr>
            <w:tcW w:type="dxa" w:w="5040"/>
            <w:shd w:fill="F5F7F6"/>
          </w:tcPr>
          <w:p>
            <w:r>
              <w:t>Stand</w:t>
            </w:r>
          </w:p>
        </w:tc>
        <w:tc>
          <w:tcPr>
            <w:tcW w:type="dxa" w:w="5040"/>
          </w:tcPr>
          <w:p>
            <w:r>
              <w:t>Mai 2026</w:t>
            </w:r>
          </w:p>
        </w:tc>
      </w:tr>
      <w:tr>
        <w:tc>
          <w:tcPr>
            <w:tcW w:type="dxa" w:w="5040"/>
            <w:shd w:fill="F5F7F6"/>
          </w:tcPr>
          <w:p>
            <w:r>
              <w:t>Status</w:t>
            </w:r>
          </w:p>
        </w:tc>
        <w:tc>
          <w:tcPr>
            <w:tcW w:type="dxa" w:w="5040"/>
          </w:tcPr>
          <w:p>
            <w:r>
              <w:t>Entwurf</w:t>
            </w:r>
          </w:p>
        </w:tc>
      </w:tr>
    </w:tbl>
    <w:p>
      <w:pPr>
        <w:pStyle w:val="Heading1"/>
      </w:pPr>
      <w:r>
        <w:t>Kurzfassung</w:t>
      </w:r>
    </w:p>
    <w:p>
      <w:r>
        <w:t>Indikatorenübersicht</w:t>
      </w:r>
    </w:p>
    <w:p>
      <w:pPr>
        <w:pStyle w:val="Heading1"/>
      </w:pPr>
      <w:r>
        <w:t>Inhaltsverzeichnis</w:t>
      </w:r>
    </w:p>
    <w:p>
      <w:r>
        <w:t>1. Einordnung</w:t>
      </w:r>
    </w:p>
    <w:p>
      <w:r>
        <w:t>2. Bewertungslogik</w:t>
      </w:r>
    </w:p>
    <w:p>
      <w:r>
        <w:t>3. Rote Linien</w:t>
      </w:r>
    </w:p>
    <w:p>
      <w:r>
        <w:t>4. Anwendung</w:t>
      </w:r>
    </w:p>
    <w:p>
      <w:pPr>
        <w:pStyle w:val="Heading1"/>
      </w:pPr>
      <w:r>
        <w:t>Tabelle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123B5D"/>
          </w:tcPr>
          <w:p>
            <w:r>
              <w:rPr>
                <w:color w:val="FFFFFF"/>
              </w:rPr>
              <w:t>WÖk-ID-Familie</w:t>
            </w:r>
          </w:p>
        </w:tc>
        <w:tc>
          <w:tcPr>
            <w:tcW w:type="dxa" w:w="2520"/>
            <w:shd w:fill="123B5D"/>
          </w:tcPr>
          <w:p>
            <w:r>
              <w:rPr>
                <w:color w:val="FFFFFF"/>
              </w:rPr>
              <w:t>Indikator</w:t>
            </w:r>
          </w:p>
        </w:tc>
        <w:tc>
          <w:tcPr>
            <w:tcW w:type="dxa" w:w="2520"/>
            <w:shd w:fill="123B5D"/>
          </w:tcPr>
          <w:p>
            <w:r>
              <w:rPr>
                <w:color w:val="FFFFFF"/>
              </w:rPr>
              <w:t>Datenquelle</w:t>
            </w:r>
          </w:p>
        </w:tc>
        <w:tc>
          <w:tcPr>
            <w:tcW w:type="dxa" w:w="2520"/>
            <w:shd w:fill="123B5D"/>
          </w:tcPr>
          <w:p>
            <w:r>
              <w:rPr>
                <w:color w:val="FFFFFF"/>
              </w:rPr>
              <w:t>Wirkungsbezug</w:t>
            </w:r>
          </w:p>
        </w:tc>
      </w:tr>
      <w:tr>
        <w:tc>
          <w:tcPr>
            <w:tcW w:type="dxa" w:w="2520"/>
          </w:tcPr>
          <w:p>
            <w:r>
              <w:t>WOK-DIG-101</w:t>
            </w:r>
          </w:p>
        </w:tc>
        <w:tc>
          <w:tcPr>
            <w:tcW w:type="dxa" w:w="2520"/>
          </w:tcPr>
          <w:p>
            <w:r>
              <w:t>Datenqualitätsklasse</w:t>
            </w:r>
          </w:p>
        </w:tc>
        <w:tc>
          <w:tcPr>
            <w:tcW w:type="dxa" w:w="2520"/>
          </w:tcPr>
          <w:p>
            <w:r>
              <w:t>Audit, DPP, Register</w:t>
            </w:r>
          </w:p>
        </w:tc>
        <w:tc>
          <w:tcPr>
            <w:tcW w:type="dxa" w:w="2520"/>
          </w:tcPr>
          <w:p>
            <w:r>
              <w:t>Prüfbarkeit</w:t>
            </w:r>
          </w:p>
        </w:tc>
      </w:tr>
      <w:tr>
        <w:tc>
          <w:tcPr>
            <w:tcW w:type="dxa" w:w="2520"/>
          </w:tcPr>
          <w:p>
            <w:r>
              <w:t>WOK-DIG-102</w:t>
            </w:r>
          </w:p>
        </w:tc>
        <w:tc>
          <w:tcPr>
            <w:tcW w:type="dxa" w:w="2520"/>
          </w:tcPr>
          <w:p>
            <w:r>
              <w:t>Interoperabilitätsgrad</w:t>
            </w:r>
          </w:p>
        </w:tc>
        <w:tc>
          <w:tcPr>
            <w:tcW w:type="dxa" w:w="2520"/>
          </w:tcPr>
          <w:p>
            <w:r>
              <w:t>API, Standards</w:t>
            </w:r>
          </w:p>
        </w:tc>
        <w:tc>
          <w:tcPr>
            <w:tcW w:type="dxa" w:w="2520"/>
          </w:tcPr>
          <w:p>
            <w:r>
              <w:t>Bürokratieabbau</w:t>
            </w:r>
          </w:p>
        </w:tc>
      </w:tr>
      <w:tr>
        <w:tc>
          <w:tcPr>
            <w:tcW w:type="dxa" w:w="2520"/>
          </w:tcPr>
          <w:p>
            <w:r>
              <w:t>WOK-DIG-103</w:t>
            </w:r>
          </w:p>
        </w:tc>
        <w:tc>
          <w:tcPr>
            <w:tcW w:type="dxa" w:w="2520"/>
          </w:tcPr>
          <w:p>
            <w:r>
              <w:t>Widerspruchs- und Korrekturweg</w:t>
            </w:r>
          </w:p>
        </w:tc>
        <w:tc>
          <w:tcPr>
            <w:tcW w:type="dxa" w:w="2520"/>
          </w:tcPr>
          <w:p>
            <w:r>
              <w:t>Governance-Dokumentation</w:t>
            </w:r>
          </w:p>
        </w:tc>
        <w:tc>
          <w:tcPr>
            <w:tcW w:type="dxa" w:w="2520"/>
          </w:tcPr>
          <w:p>
            <w:r>
              <w:t>Rechtsschutz</w:t>
            </w:r>
          </w:p>
        </w:tc>
      </w:tr>
      <w:tr>
        <w:tc>
          <w:tcPr>
            <w:tcW w:type="dxa" w:w="2520"/>
          </w:tcPr>
          <w:p>
            <w:r>
              <w:t>WOK-AI-101</w:t>
            </w:r>
          </w:p>
        </w:tc>
        <w:tc>
          <w:tcPr>
            <w:tcW w:type="dxa" w:w="2520"/>
          </w:tcPr>
          <w:p>
            <w:r>
              <w:t>Modelltransparenz</w:t>
            </w:r>
          </w:p>
        </w:tc>
        <w:tc>
          <w:tcPr>
            <w:tcW w:type="dxa" w:w="2520"/>
          </w:tcPr>
          <w:p>
            <w:r>
              <w:t>KI-Dokumentation</w:t>
            </w:r>
          </w:p>
        </w:tc>
        <w:tc>
          <w:tcPr>
            <w:tcW w:type="dxa" w:w="2520"/>
          </w:tcPr>
          <w:p>
            <w:r>
              <w:t>Demokratische Kontrolle</w:t>
            </w:r>
          </w:p>
        </w:tc>
      </w:tr>
      <w:tr>
        <w:tc>
          <w:tcPr>
            <w:tcW w:type="dxa" w:w="2520"/>
          </w:tcPr>
          <w:p>
            <w:r>
              <w:t>WOK-AI-102</w:t>
            </w:r>
          </w:p>
        </w:tc>
        <w:tc>
          <w:tcPr>
            <w:tcW w:type="dxa" w:w="2520"/>
          </w:tcPr>
          <w:p>
            <w:r>
              <w:t>Bias-Prüfstatus</w:t>
            </w:r>
          </w:p>
        </w:tc>
        <w:tc>
          <w:tcPr>
            <w:tcW w:type="dxa" w:w="2520"/>
          </w:tcPr>
          <w:p>
            <w:r>
              <w:t>Audit, Testdaten</w:t>
            </w:r>
          </w:p>
        </w:tc>
        <w:tc>
          <w:tcPr>
            <w:tcW w:type="dxa" w:w="2520"/>
          </w:tcPr>
          <w:p>
            <w:r>
              <w:t>Nichtdiskriminierung</w:t>
            </w:r>
          </w:p>
        </w:tc>
      </w:tr>
      <w:tr>
        <w:tc>
          <w:tcPr>
            <w:tcW w:type="dxa" w:w="2520"/>
          </w:tcPr>
          <w:p>
            <w:r>
              <w:t>WOK-CY-101</w:t>
            </w:r>
          </w:p>
        </w:tc>
        <w:tc>
          <w:tcPr>
            <w:tcW w:type="dxa" w:w="2520"/>
          </w:tcPr>
          <w:p>
            <w:r>
              <w:t>Wiederherstellungszeit</w:t>
            </w:r>
          </w:p>
        </w:tc>
        <w:tc>
          <w:tcPr>
            <w:tcW w:type="dxa" w:w="2520"/>
          </w:tcPr>
          <w:p>
            <w:r>
              <w:t>BCM, Sicherheitsberichte</w:t>
            </w:r>
          </w:p>
        </w:tc>
        <w:tc>
          <w:tcPr>
            <w:tcW w:type="dxa" w:w="2520"/>
          </w:tcPr>
          <w:p>
            <w:r>
              <w:t>Resilienz</w:t>
            </w:r>
          </w:p>
        </w:tc>
      </w:tr>
      <w:tr>
        <w:tc>
          <w:tcPr>
            <w:tcW w:type="dxa" w:w="2520"/>
          </w:tcPr>
          <w:p>
            <w:r>
              <w:t>WOK-DPP-101</w:t>
            </w:r>
          </w:p>
        </w:tc>
        <w:tc>
          <w:tcPr>
            <w:tcW w:type="dxa" w:w="2520"/>
          </w:tcPr>
          <w:p>
            <w:r>
              <w:t>DPP-Abdeckung Lebenszyklus</w:t>
            </w:r>
          </w:p>
        </w:tc>
        <w:tc>
          <w:tcPr>
            <w:tcW w:type="dxa" w:w="2520"/>
          </w:tcPr>
          <w:p>
            <w:r>
              <w:t>Produktpass</w:t>
            </w:r>
          </w:p>
        </w:tc>
        <w:tc>
          <w:tcPr>
            <w:tcW w:type="dxa" w:w="2520"/>
          </w:tcPr>
          <w:p>
            <w:r>
              <w:t>Produktwirkung</w:t>
            </w:r>
          </w:p>
        </w:tc>
      </w:tr>
      <w:tr>
        <w:tc>
          <w:tcPr>
            <w:tcW w:type="dxa" w:w="2520"/>
          </w:tcPr>
          <w:p>
            <w:r>
              <w:t>WOK-PLAT-101</w:t>
            </w:r>
          </w:p>
        </w:tc>
        <w:tc>
          <w:tcPr>
            <w:tcW w:type="dxa" w:w="2520"/>
          </w:tcPr>
          <w:p>
            <w:r>
              <w:t>Algorithmische Reichweitentransparenz</w:t>
            </w:r>
          </w:p>
        </w:tc>
        <w:tc>
          <w:tcPr>
            <w:tcW w:type="dxa" w:w="2520"/>
          </w:tcPr>
          <w:p>
            <w:r>
              <w:t>Plattformdaten</w:t>
            </w:r>
          </w:p>
        </w:tc>
        <w:tc>
          <w:tcPr>
            <w:tcW w:type="dxa" w:w="2520"/>
          </w:tcPr>
          <w:p>
            <w:r>
              <w:t>Medienqualität</w:t>
            </w:r>
          </w:p>
        </w:tc>
      </w:tr>
      <w:tr>
        <w:tc>
          <w:tcPr>
            <w:tcW w:type="dxa" w:w="2520"/>
          </w:tcPr>
          <w:p>
            <w:r>
              <w:t>WOK-SCAN-101</w:t>
            </w:r>
          </w:p>
        </w:tc>
        <w:tc>
          <w:tcPr>
            <w:tcW w:type="dxa" w:w="2520"/>
          </w:tcPr>
          <w:p>
            <w:r>
              <w:t>Verständlichkeit Wirkungssignal</w:t>
            </w:r>
          </w:p>
        </w:tc>
        <w:tc>
          <w:tcPr>
            <w:tcW w:type="dxa" w:w="2520"/>
          </w:tcPr>
          <w:p>
            <w:r>
              <w:t>UX-Test, Barrierefreiheit</w:t>
            </w:r>
          </w:p>
        </w:tc>
        <w:tc>
          <w:tcPr>
            <w:tcW w:type="dxa" w:w="2520"/>
          </w:tcPr>
          <w:p>
            <w:r>
              <w:t>Teilhabe</w:t>
            </w:r>
          </w:p>
        </w:tc>
      </w:tr>
    </w:tbl>
    <w:p/>
    <w:p>
      <w:pPr>
        <w:pStyle w:val="Heading1"/>
      </w:pPr>
      <w:r>
        <w:t>1. Einordnung</w:t>
      </w:r>
    </w:p>
    <w:p>
      <w:r>
        <w:t>Die Wirkungsindikatoren für Rang 17 bewerten Datenarchitekturen, Produktpässe, KI-Systeme, Plattformlogiken, Cyberresilienz, Register, Schnittstellen und Governance-Prozesse. Sie dienen nicht der Personenbewertung.</w:t>
      </w:r>
    </w:p>
    <w:p>
      <w:pPr>
        <w:pStyle w:val="Heading1"/>
      </w:pPr>
      <w:r>
        <w:t>2. Bewertungslogik</w:t>
      </w:r>
    </w:p>
    <w:p>
      <w:r>
        <w:t>Jeder Indikator benötigt Wirkungsraum, Datenquelle, Datenqualitätsklasse, Prüffrequenz, Verantwortlichkeit, SDG-/SDG+-Bezug und Korrekturweg. Fehlende Daten dürfen nicht automatisch zu guten Bewertungen führen.</w:t>
      </w:r>
    </w:p>
    <w:p>
      <w:pPr>
        <w:pStyle w:val="Heading1"/>
      </w:pPr>
      <w:r>
        <w:t>3. Rote Linien</w:t>
      </w:r>
    </w:p>
    <w:p>
      <w:r>
        <w:t>Nicht akzeptabel sind Social-Credit-Logik, verdeckte Personenklassifikation, nicht anfechtbare automatisierte Entscheidungen, manipulative Plattformsteuerung, ungeprüfte KI in kritischen Bereichen, zentrale Datenmacht ohne Rechtsschutz und Produktpässe ohne Validierung.</w:t>
      </w:r>
    </w:p>
    <w:p>
      <w:pPr>
        <w:pStyle w:val="Heading1"/>
      </w:pPr>
      <w:r>
        <w:t>4. Anwendung</w:t>
      </w:r>
    </w:p>
    <w:p>
      <w:r>
        <w:t>Indikatoren werden in Scorecards und Toolkarten übersetzt. Sie müssen mobil lesbar, versioniert und in Onlinefassungen erläutert werden.</w:t>
      </w:r>
    </w:p>
    <w:p>
      <w:pPr>
        <w:pStyle w:val="Heading1"/>
      </w:pPr>
      <w:r>
        <w:t>Quellen und Anschlussstellen</w:t>
      </w:r>
    </w:p>
    <w:p>
      <w:pPr>
        <w:pStyle w:val="Heading2"/>
      </w:pPr>
      <w:r>
        <w:t>Interne Quellen</w:t>
      </w:r>
    </w:p>
    <w:p>
      <w:pPr>
        <w:pStyle w:val="ListBullet"/>
      </w:pPr>
      <w:r>
        <w:t>Natalie Weber: Führender Begriffsleitfaden der Wirkungsökonomie, Version 1.0, Stand 21. Mai 2026.</w:t>
      </w:r>
    </w:p>
    <w:p>
      <w:pPr>
        <w:pStyle w:val="ListBullet"/>
      </w:pPr>
      <w:r>
        <w:t>Natalie Weber: Die neue Ordnung des Wohlstands. Das Standardwerk der Wirkungsökonomie, Manuskriptfassung 2026, Teil XIII - Digitalisierung, KI und Wirkungsdatenräume.</w:t>
      </w:r>
    </w:p>
    <w:p>
      <w:pPr>
        <w:pStyle w:val="ListBullet"/>
      </w:pPr>
      <w:r>
        <w:t>Natalie Weber: Systemmodell der Wirkungsökonomie. Die systemische Ordnungskarte Mensch-Planet-Demokratie, 2025.</w:t>
      </w:r>
    </w:p>
    <w:p>
      <w:pPr>
        <w:pStyle w:val="ListBullet"/>
      </w:pPr>
      <w:r>
        <w:t>Natalie Weber: Technische Leitlinien zum Wirkungssteuergesetz (WUStG), Vollversion Extended, August 2025.</w:t>
      </w:r>
    </w:p>
    <w:p>
      <w:pPr>
        <w:pStyle w:val="ListBullet"/>
      </w:pPr>
      <w:r>
        <w:t>Natalie Weber: WP Produkte - Produktbesteuerung durch Wirkung, 2025.</w:t>
      </w:r>
    </w:p>
    <w:p>
      <w:pPr>
        <w:pStyle w:val="ListBullet"/>
      </w:pPr>
      <w:r>
        <w:t>Natalie Weber: Wirkungsoekonomie in der Lieferkette, September 2025.</w:t>
      </w:r>
    </w:p>
    <w:p>
      <w:pPr>
        <w:pStyle w:val="Heading2"/>
      </w:pPr>
      <w:r>
        <w:t>Externe Anschlussstellen</w:t>
      </w:r>
    </w:p>
    <w:p>
      <w:pPr>
        <w:pStyle w:val="ListBullet"/>
      </w:pPr>
      <w:r>
        <w:t>European Commission: AI Act - Shaping Europe's digital future. Offizielle Informationen zum EU AI Act, Inkrafttreten 1. August 2024, stufenweise Anwendung bis 2026 und GPAI-Pflichten ab 2025.</w:t>
      </w:r>
    </w:p>
    <w:p>
      <w:pPr>
        <w:pStyle w:val="ListBullet"/>
      </w:pPr>
      <w:r>
        <w:t>European Commission: Digital Product Passport unter der Ecodesign for Sustainable Products Regulation (ESPR), Informationen 2024/2025.</w:t>
      </w:r>
    </w:p>
    <w:p>
      <w:pPr>
        <w:pStyle w:val="ListBullet"/>
      </w:pPr>
      <w:r>
        <w:t>EUR-Lex: Regulation (EU) 2023/2854 - Data Act, harmonised rules on fair access to and use of data.</w:t>
      </w:r>
    </w:p>
    <w:p>
      <w:pPr>
        <w:pStyle w:val="ListBullet"/>
      </w:pPr>
      <w:r>
        <w:t>EUR-Lex: Regulation (EU) 2022/868 - Data Governance Act, European data governance and common European data spaces.</w:t>
      </w:r>
    </w:p>
    <w:p>
      <w:pPr>
        <w:pStyle w:val="ListBullet"/>
      </w:pPr>
      <w:r>
        <w:t>EUR-Lex: Regulation (EU) 2024/2847 - Cyber Resilience Act, horizontal cybersecurity requirements for products with digital elements.</w:t>
      </w:r>
    </w:p>
    <w:p>
      <w:pPr>
        <w:pStyle w:val="ListBullet"/>
      </w:pPr>
      <w:r>
        <w:t>NIST: Artificial Intelligence Risk Management Framework, 2023; NIST Cybersecurity Framework 2.0, 2024.</w:t>
      </w:r>
    </w:p>
    <w:p>
      <w:pPr>
        <w:pStyle w:val="ListBullet"/>
      </w:pPr>
      <w:r>
        <w:t>United Nations: Transforming our world - The 2030 Agenda for Sustainable Development and Sustainable Development Goals.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Autorin: Natalie Weber | Referenz: Wirkungsökonomie | Version 1.0 | Stand Mai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1F6F68"/>
        <w:sz w:val="16"/>
      </w:rPr>
      <w:t>Wirkungsökonomie - Rang 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23B5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F6F68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B08D5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23B5D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