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Politische Anschlussfähigkeit Rang 17</w:t>
      </w:r>
    </w:p>
    <w:p>
      <w:pPr>
        <w:jc w:val="center"/>
      </w:pPr>
      <w:r>
        <w:rPr>
          <w:color w:val="1F6F68"/>
          <w:sz w:val="26"/>
        </w:rPr>
        <w:t>Umsetzungsoptionen, Zielkonflikte und Schutz vor Technokratie</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Entwurf</w:t>
            </w:r>
          </w:p>
        </w:tc>
      </w:tr>
    </w:tbl>
    <w:p>
      <w:pPr>
        <w:pStyle w:val="Heading1"/>
      </w:pPr>
      <w:r>
        <w:t>Kurzfassung</w:t>
      </w:r>
    </w:p>
    <w:p>
      <w:r>
        <w:t>Politische Anschlussfähigkeit</w:t>
      </w:r>
    </w:p>
    <w:p>
      <w:pPr>
        <w:pStyle w:val="Heading1"/>
      </w:pPr>
      <w:r>
        <w:t>Inhaltsverzeichnis</w:t>
      </w:r>
    </w:p>
    <w:p>
      <w:r>
        <w:t>1. Aufgabe der Politik</w:t>
      </w:r>
    </w:p>
    <w:p>
      <w:r>
        <w:t>2. Rahmenbedingungen</w:t>
      </w:r>
    </w:p>
    <w:p>
      <w:r>
        <w:t>3. Zielkonflikte</w:t>
      </w:r>
    </w:p>
    <w:p>
      <w:r>
        <w:t>4. Rollenverteilung</w:t>
      </w:r>
    </w:p>
    <w:p>
      <w:r>
        <w:t>5. Schutz vor Technokratie</w:t>
      </w:r>
    </w:p>
    <w:p>
      <w:pPr>
        <w:pStyle w:val="Heading1"/>
      </w:pPr>
      <w:r>
        <w:t>1. Aufgabe der Politik</w:t>
      </w:r>
    </w:p>
    <w:p>
      <w:r>
        <w:t>Politik muss digitale Infrastrukturen so rahmen, dass sie Rückkopplung ermöglichen, Rechte schützen und Machtkonzentration begrenzen. Sie darf Digitalisierung nicht nur als Standortpolitik verstehen, sondern als Wirkungsarchitektur für Demokratie, Wirtschaft, Verwaltung, Produktverantwortung und Resilienz.</w:t>
      </w:r>
    </w:p>
    <w:p>
      <w:pPr>
        <w:pStyle w:val="Heading1"/>
      </w:pPr>
      <w:r>
        <w:t>2. Rahmenbedingungen</w:t>
      </w:r>
    </w:p>
    <w:p>
      <w:r>
        <w:t>Benötigt werden Datenschutz, Datenzugang, Interoperabilität, KI-Aufsicht, Plattformtransparenz, Cyberresilienz, öffentliche Standards, Registerrecht, Auditpflichten und Widerspruchswege. Öffentliche Beschaffung muss digitale Wirkungskriterien aufnehmen.</w:t>
      </w:r>
    </w:p>
    <w:p>
      <w:pPr>
        <w:pStyle w:val="Heading1"/>
      </w:pPr>
      <w:r>
        <w:t>3. Zielkonflikte</w:t>
      </w:r>
    </w:p>
    <w:p>
      <w:r>
        <w:t>Innovation vs. Vorsorge, Transparenz vs. Geschäftsgeheimnisse, Datenzugang vs. Datenschutz, KI-Effizienz vs. Rechtsschutz, Produkttransparenz vs. kleine Unternehmen, Plattformfreiheit vs. Desinformationsschutz, Sicherheit vs. Freiheitsrechte.</w:t>
      </w:r>
    </w:p>
    <w:p>
      <w:pPr>
        <w:pStyle w:val="Heading1"/>
      </w:pPr>
      <w:r>
        <w:t>4. Rollenverteilung</w:t>
      </w:r>
    </w:p>
    <w:p>
      <w:r>
        <w:t>Der Bund setzt Rechtsrahmen und Standards. Länder und Kommunen pilotieren Verwaltung, Bildung und Beschaffung. Unternehmen liefern Daten und verbessern Systeme. Prüfer:innen sichern Datenqualität. Wissenschaft evaluiert. Zivilgesellschaft kontrolliert. Bürger:innen erhalten verständliche Informationen und Widerspruchsrechte.</w:t>
      </w:r>
    </w:p>
    <w:p>
      <w:pPr>
        <w:pStyle w:val="Heading1"/>
      </w:pPr>
      <w:r>
        <w:t>5. Schutz vor Technokratie</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