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B08D57"/>
          <w:sz w:val="22"/>
        </w:rPr>
        <w:t>WIRKUNGSÖKONOMIE</w:t>
      </w:r>
    </w:p>
    <w:p>
      <w:pPr>
        <w:jc w:val="center"/>
      </w:pPr>
      <w:r>
        <w:rPr>
          <w:b/>
          <w:color w:val="123B5D"/>
          <w:sz w:val="46"/>
        </w:rPr>
        <w:t>Bestands- und Nachlieferliste Rang 17</w:t>
      </w:r>
    </w:p>
    <w:p>
      <w:pPr>
        <w:jc w:val="center"/>
      </w:pPr>
      <w:r>
        <w:rPr>
          <w:color w:val="1F6F68"/>
          <w:sz w:val="26"/>
        </w:rPr>
        <w:t>Digitalisierung, KI und Wirkungsdatenräume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fill="F5F7F6"/>
          </w:tcPr>
          <w:p>
            <w:r>
              <w:t>Autorin</w:t>
            </w:r>
          </w:p>
        </w:tc>
        <w:tc>
          <w:tcPr>
            <w:tcW w:type="dxa" w:w="5040"/>
          </w:tcPr>
          <w:p>
            <w:r>
              <w:t>Natalie Weber</w:t>
            </w:r>
          </w:p>
        </w:tc>
      </w:tr>
      <w:tr>
        <w:tc>
          <w:tcPr>
            <w:tcW w:type="dxa" w:w="5040"/>
            <w:shd w:fill="F5F7F6"/>
          </w:tcPr>
          <w:p>
            <w:r>
              <w:t>Referenz</w:t>
            </w:r>
          </w:p>
        </w:tc>
        <w:tc>
          <w:tcPr>
            <w:tcW w:type="dxa" w:w="5040"/>
          </w:tcPr>
          <w:p>
            <w:r>
              <w:t>Wirkungsökonomie</w:t>
            </w:r>
          </w:p>
        </w:tc>
      </w:tr>
      <w:tr>
        <w:tc>
          <w:tcPr>
            <w:tcW w:type="dxa" w:w="5040"/>
            <w:shd w:fill="F5F7F6"/>
          </w:tcPr>
          <w:p>
            <w:r>
              <w:t>Version</w:t>
            </w:r>
          </w:p>
        </w:tc>
        <w:tc>
          <w:tcPr>
            <w:tcW w:type="dxa" w:w="5040"/>
          </w:tcPr>
          <w:p>
            <w:r>
              <w:t>1.0</w:t>
            </w:r>
          </w:p>
        </w:tc>
      </w:tr>
      <w:tr>
        <w:tc>
          <w:tcPr>
            <w:tcW w:type="dxa" w:w="5040"/>
            <w:shd w:fill="F5F7F6"/>
          </w:tcPr>
          <w:p>
            <w:r>
              <w:t>Stand</w:t>
            </w:r>
          </w:p>
        </w:tc>
        <w:tc>
          <w:tcPr>
            <w:tcW w:type="dxa" w:w="5040"/>
          </w:tcPr>
          <w:p>
            <w:r>
              <w:t>Mai 2026</w:t>
            </w:r>
          </w:p>
        </w:tc>
      </w:tr>
      <w:tr>
        <w:tc>
          <w:tcPr>
            <w:tcW w:type="dxa" w:w="5040"/>
            <w:shd w:fill="F5F7F6"/>
          </w:tcPr>
          <w:p>
            <w:r>
              <w:t>Status</w:t>
            </w:r>
          </w:p>
        </w:tc>
        <w:tc>
          <w:tcPr>
            <w:tcW w:type="dxa" w:w="5040"/>
          </w:tcPr>
          <w:p>
            <w:r>
              <w:t>Arbeits- und Abnahmeliste</w:t>
            </w:r>
          </w:p>
        </w:tc>
      </w:tr>
    </w:tbl>
    <w:p>
      <w:pPr>
        <w:pStyle w:val="Heading1"/>
      </w:pPr>
      <w:r>
        <w:t>Kurzfassung</w:t>
      </w:r>
    </w:p>
    <w:p>
      <w:r>
        <w:t>Operative Kontrollliste</w:t>
      </w:r>
    </w:p>
    <w:p>
      <w:pPr>
        <w:pStyle w:val="Heading1"/>
      </w:pPr>
      <w:r>
        <w:t>Inhaltsverzeichnis</w:t>
      </w:r>
    </w:p>
    <w:p>
      <w:r>
        <w:t>1. Einordnung</w:t>
      </w:r>
    </w:p>
    <w:p>
      <w:r>
        <w:t>2. Qualitätsentscheidung</w:t>
      </w:r>
    </w:p>
    <w:p>
      <w:r>
        <w:t>3. Abnahme</w:t>
      </w:r>
    </w:p>
    <w:p>
      <w:pPr>
        <w:pStyle w:val="Heading1"/>
      </w:pPr>
      <w:r>
        <w:t>Tabelle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0"/>
        <w:gridCol w:w="3360"/>
        <w:gridCol w:w="3360"/>
      </w:tblGrid>
      <w:tr>
        <w:tc>
          <w:tcPr>
            <w:tcW w:type="dxa" w:w="3360"/>
            <w:shd w:fill="123B5D"/>
          </w:tcPr>
          <w:p>
            <w:r>
              <w:rPr>
                <w:color w:val="FFFFFF"/>
              </w:rPr>
              <w:t>Baustein</w:t>
            </w:r>
          </w:p>
        </w:tc>
        <w:tc>
          <w:tcPr>
            <w:tcW w:type="dxa" w:w="3360"/>
            <w:shd w:fill="123B5D"/>
          </w:tcPr>
          <w:p>
            <w:r>
              <w:rPr>
                <w:color w:val="FFFFFF"/>
              </w:rPr>
              <w:t>Status</w:t>
            </w:r>
          </w:p>
        </w:tc>
        <w:tc>
          <w:tcPr>
            <w:tcW w:type="dxa" w:w="3360"/>
            <w:shd w:fill="123B5D"/>
          </w:tcPr>
          <w:p>
            <w:r>
              <w:rPr>
                <w:color w:val="FFFFFF"/>
              </w:rPr>
              <w:t>Website-Aufgabe</w:t>
            </w:r>
          </w:p>
        </w:tc>
      </w:tr>
      <w:tr>
        <w:tc>
          <w:tcPr>
            <w:tcW w:type="dxa" w:w="3360"/>
          </w:tcPr>
          <w:p>
            <w:r>
              <w:t>Portalstartseite</w:t>
            </w:r>
          </w:p>
        </w:tc>
        <w:tc>
          <w:tcPr>
            <w:tcW w:type="dxa" w:w="3360"/>
          </w:tcPr>
          <w:p>
            <w:r>
              <w:t>erstellt</w:t>
            </w:r>
          </w:p>
        </w:tc>
        <w:tc>
          <w:tcPr>
            <w:tcW w:type="dxa" w:w="3360"/>
          </w:tcPr>
          <w:p>
            <w:r>
              <w:t>Online einbauen, Downloadlinks setzen</w:t>
            </w:r>
          </w:p>
        </w:tc>
      </w:tr>
      <w:tr>
        <w:tc>
          <w:tcPr>
            <w:tcW w:type="dxa" w:w="3360"/>
          </w:tcPr>
          <w:p>
            <w:r>
              <w:t>Konzeptpapier</w:t>
            </w:r>
          </w:p>
        </w:tc>
        <w:tc>
          <w:tcPr>
            <w:tcW w:type="dxa" w:w="3360"/>
          </w:tcPr>
          <w:p>
            <w:r>
              <w:t>Langfassung erstellt</w:t>
            </w:r>
          </w:p>
        </w:tc>
        <w:tc>
          <w:tcPr>
            <w:tcW w:type="dxa" w:w="3360"/>
          </w:tcPr>
          <w:p>
            <w:r>
              <w:t>PDF und DOCX verlinken</w:t>
            </w:r>
          </w:p>
        </w:tc>
      </w:tr>
      <w:tr>
        <w:tc>
          <w:tcPr>
            <w:tcW w:type="dxa" w:w="3360"/>
          </w:tcPr>
          <w:p>
            <w:r>
              <w:t>Gesamtdossier</w:t>
            </w:r>
          </w:p>
        </w:tc>
        <w:tc>
          <w:tcPr>
            <w:tcW w:type="dxa" w:w="3360"/>
          </w:tcPr>
          <w:p>
            <w:r>
              <w:t>Langfassungsentwurf erstellt</w:t>
            </w:r>
          </w:p>
        </w:tc>
        <w:tc>
          <w:tcPr>
            <w:tcW w:type="dxa" w:w="3360"/>
          </w:tcPr>
          <w:p>
            <w:r>
              <w:t>Online-Volltext und Downloads</w:t>
            </w:r>
          </w:p>
        </w:tc>
      </w:tr>
      <w:tr>
        <w:tc>
          <w:tcPr>
            <w:tcW w:type="dxa" w:w="3360"/>
          </w:tcPr>
          <w:p>
            <w:r>
              <w:t>10 Detailkonzepte</w:t>
            </w:r>
          </w:p>
        </w:tc>
        <w:tc>
          <w:tcPr>
            <w:tcW w:type="dxa" w:w="3360"/>
          </w:tcPr>
          <w:p>
            <w:r>
              <w:t>Langfassungen erstellt</w:t>
            </w:r>
          </w:p>
        </w:tc>
        <w:tc>
          <w:tcPr>
            <w:tcW w:type="dxa" w:w="3360"/>
          </w:tcPr>
          <w:p>
            <w:r>
              <w:t>Nicht als Grobkonzepte behandeln</w:t>
            </w:r>
          </w:p>
        </w:tc>
      </w:tr>
      <w:tr>
        <w:tc>
          <w:tcPr>
            <w:tcW w:type="dxa" w:w="3360"/>
          </w:tcPr>
          <w:p>
            <w:r>
              <w:t>Toolkarten</w:t>
            </w:r>
          </w:p>
        </w:tc>
        <w:tc>
          <w:tcPr>
            <w:tcW w:type="dxa" w:w="3360"/>
          </w:tcPr>
          <w:p>
            <w:r>
              <w:t>erstellt</w:t>
            </w:r>
          </w:p>
        </w:tc>
        <w:tc>
          <w:tcPr>
            <w:tcW w:type="dxa" w:w="3360"/>
          </w:tcPr>
          <w:p>
            <w:r>
              <w:t>Demo-Status und Links</w:t>
            </w:r>
          </w:p>
        </w:tc>
      </w:tr>
      <w:tr>
        <w:tc>
          <w:tcPr>
            <w:tcW w:type="dxa" w:w="3360"/>
          </w:tcPr>
          <w:p>
            <w:r>
              <w:t>Wirkungsindikatoren</w:t>
            </w:r>
          </w:p>
        </w:tc>
        <w:tc>
          <w:tcPr>
            <w:tcW w:type="dxa" w:w="3360"/>
          </w:tcPr>
          <w:p>
            <w:r>
              <w:t>erstellt</w:t>
            </w:r>
          </w:p>
        </w:tc>
        <w:tc>
          <w:tcPr>
            <w:tcW w:type="dxa" w:w="3360"/>
          </w:tcPr>
          <w:p>
            <w:r>
              <w:t>Tabellen responsiv ausgeben</w:t>
            </w:r>
          </w:p>
        </w:tc>
      </w:tr>
      <w:tr>
        <w:tc>
          <w:tcPr>
            <w:tcW w:type="dxa" w:w="3360"/>
          </w:tcPr>
          <w:p>
            <w:r>
              <w:t>SDG-/SDG+-Block</w:t>
            </w:r>
          </w:p>
        </w:tc>
        <w:tc>
          <w:tcPr>
            <w:tcW w:type="dxa" w:w="3360"/>
          </w:tcPr>
          <w:p>
            <w:r>
              <w:t>erstellt</w:t>
            </w:r>
          </w:p>
        </w:tc>
        <w:tc>
          <w:tcPr>
            <w:tcW w:type="dxa" w:w="3360"/>
          </w:tcPr>
          <w:p>
            <w:r>
              <w:t>Auf allen Unterseiten integrieren</w:t>
            </w:r>
          </w:p>
        </w:tc>
      </w:tr>
      <w:tr>
        <w:tc>
          <w:tcPr>
            <w:tcW w:type="dxa" w:w="3360"/>
          </w:tcPr>
          <w:p>
            <w:r>
              <w:t>Politische Anschlussfähigkeit</w:t>
            </w:r>
          </w:p>
        </w:tc>
        <w:tc>
          <w:tcPr>
            <w:tcW w:type="dxa" w:w="3360"/>
          </w:tcPr>
          <w:p>
            <w:r>
              <w:t>erstellt</w:t>
            </w:r>
          </w:p>
        </w:tc>
        <w:tc>
          <w:tcPr>
            <w:tcW w:type="dxa" w:w="3360"/>
          </w:tcPr>
          <w:p>
            <w:r>
              <w:t>Pflichtblock auf allen Wirkungsfeldseiten</w:t>
            </w:r>
          </w:p>
        </w:tc>
      </w:tr>
      <w:tr>
        <w:tc>
          <w:tcPr>
            <w:tcW w:type="dxa" w:w="3360"/>
          </w:tcPr>
          <w:p>
            <w:r>
              <w:t>CodeX-Anweisung</w:t>
            </w:r>
          </w:p>
        </w:tc>
        <w:tc>
          <w:tcPr>
            <w:tcW w:type="dxa" w:w="3360"/>
          </w:tcPr>
          <w:p>
            <w:r>
              <w:t>erstellt</w:t>
            </w:r>
          </w:p>
        </w:tc>
        <w:tc>
          <w:tcPr>
            <w:tcW w:type="dxa" w:w="3360"/>
          </w:tcPr>
          <w:p>
            <w:r>
              <w:t>Website-Integration ausführen</w:t>
            </w:r>
          </w:p>
        </w:tc>
      </w:tr>
    </w:tbl>
    <w:p/>
    <w:p>
      <w:pPr>
        <w:pStyle w:val="Heading1"/>
      </w:pPr>
      <w:r>
        <w:t>1. Einordnung</w:t>
      </w:r>
    </w:p>
    <w:p>
      <w:r>
        <w:t>Diese Liste kontrolliert, ob Rang 17 wirklich als Fachbereich und nicht als Dateisammlung umgesetzt wird. Sie markiert die Paketbestandteile und die Website-Pflichten.</w:t>
      </w:r>
    </w:p>
    <w:p>
      <w:pPr>
        <w:pStyle w:val="Heading1"/>
      </w:pPr>
      <w:r>
        <w:t>2. Qualitätsentscheidung</w:t>
      </w:r>
    </w:p>
    <w:p>
      <w:r>
        <w:t>Kurze Digitalisierungsnotizen sind keine Detailkonzepte. Rang 17 braucht Langfassungen, weil Datenräume, KI, DPP, Cyberresilienz, Plattformlogik, digitale Rechte und Auditlogik eigene Fachunterbereiche sind.</w:t>
      </w:r>
    </w:p>
    <w:p>
      <w:pPr>
        <w:pStyle w:val="Heading1"/>
      </w:pPr>
      <w:r>
        <w:t>3. Abnahme</w:t>
      </w:r>
    </w:p>
    <w:p>
      <w:r>
        <w:t>Der Rang ist erst abgeschlossen, wenn Online-Volltexte, PDF-Downloads, DOCX-Downloads, ZIP, Toolkarten, SDG-/SDG+-Block, politische Anschlussfähigkeit, Querverlinkungen, mobile UX und Linkcheck funktionieren.</w:t>
      </w:r>
    </w:p>
    <w:p>
      <w:pPr>
        <w:pStyle w:val="Heading1"/>
      </w:pPr>
      <w:r>
        <w:t>Quellen und Anschlussstellen</w:t>
      </w:r>
    </w:p>
    <w:p>
      <w:pPr>
        <w:pStyle w:val="Heading2"/>
      </w:pPr>
      <w:r>
        <w:t>Interne Quellen</w:t>
      </w:r>
    </w:p>
    <w:p>
      <w:pPr>
        <w:pStyle w:val="ListBullet"/>
      </w:pPr>
      <w:r>
        <w:t>Natalie Weber: Führender Begriffsleitfaden der Wirkungsökonomie, Version 1.0, Stand 21. Mai 2026.</w:t>
      </w:r>
    </w:p>
    <w:p>
      <w:pPr>
        <w:pStyle w:val="ListBullet"/>
      </w:pPr>
      <w:r>
        <w:t>Natalie Weber: Die neue Ordnung des Wohlstands. Das Standardwerk der Wirkungsökonomie, Manuskriptfassung 2026, Teil XIII - Digitalisierung, KI und Wirkungsdatenräume.</w:t>
      </w:r>
    </w:p>
    <w:p>
      <w:pPr>
        <w:pStyle w:val="ListBullet"/>
      </w:pPr>
      <w:r>
        <w:t>Natalie Weber: Systemmodell der Wirkungsökonomie. Die systemische Ordnungskarte Mensch-Planet-Demokratie, 2025.</w:t>
      </w:r>
    </w:p>
    <w:p>
      <w:pPr>
        <w:pStyle w:val="ListBullet"/>
      </w:pPr>
      <w:r>
        <w:t>Natalie Weber: Technische Leitlinien zum Wirkungssteuergesetz (WUStG), Vollversion Extended, August 2025.</w:t>
      </w:r>
    </w:p>
    <w:p>
      <w:pPr>
        <w:pStyle w:val="ListBullet"/>
      </w:pPr>
      <w:r>
        <w:t>Natalie Weber: WP Produkte - Produktbesteuerung durch Wirkung, 2025.</w:t>
      </w:r>
    </w:p>
    <w:p>
      <w:pPr>
        <w:pStyle w:val="ListBullet"/>
      </w:pPr>
      <w:r>
        <w:t>Natalie Weber: Wirkungsoekonomie in der Lieferkette, September 2025.</w:t>
      </w:r>
    </w:p>
    <w:p>
      <w:pPr>
        <w:pStyle w:val="Heading2"/>
      </w:pPr>
      <w:r>
        <w:t>Externe Anschlussstellen</w:t>
      </w:r>
    </w:p>
    <w:p>
      <w:pPr>
        <w:pStyle w:val="ListBullet"/>
      </w:pPr>
      <w:r>
        <w:t>European Commission: AI Act - Shaping Europe's digital future. Offizielle Informationen zum EU AI Act, Inkrafttreten 1. August 2024, stufenweise Anwendung bis 2026 und GPAI-Pflichten ab 2025.</w:t>
      </w:r>
    </w:p>
    <w:p>
      <w:pPr>
        <w:pStyle w:val="ListBullet"/>
      </w:pPr>
      <w:r>
        <w:t>European Commission: Digital Product Passport unter der Ecodesign for Sustainable Products Regulation (ESPR), Informationen 2024/2025.</w:t>
      </w:r>
    </w:p>
    <w:p>
      <w:pPr>
        <w:pStyle w:val="ListBullet"/>
      </w:pPr>
      <w:r>
        <w:t>EUR-Lex: Regulation (EU) 2023/2854 - Data Act, harmonised rules on fair access to and use of data.</w:t>
      </w:r>
    </w:p>
    <w:p>
      <w:pPr>
        <w:pStyle w:val="ListBullet"/>
      </w:pPr>
      <w:r>
        <w:t>EUR-Lex: Regulation (EU) 2022/868 - Data Governance Act, European data governance and common European data spaces.</w:t>
      </w:r>
    </w:p>
    <w:p>
      <w:pPr>
        <w:pStyle w:val="ListBullet"/>
      </w:pPr>
      <w:r>
        <w:t>EUR-Lex: Regulation (EU) 2024/2847 - Cyber Resilience Act, horizontal cybersecurity requirements for products with digital elements.</w:t>
      </w:r>
    </w:p>
    <w:p>
      <w:pPr>
        <w:pStyle w:val="ListBullet"/>
      </w:pPr>
      <w:r>
        <w:t>NIST: Artificial Intelligence Risk Management Framework, 2023; NIST Cybersecurity Framework 2.0, 2024.</w:t>
      </w:r>
    </w:p>
    <w:p>
      <w:pPr>
        <w:pStyle w:val="ListBullet"/>
      </w:pPr>
      <w:r>
        <w:t>United Nations: Transforming our world - The 2030 Agenda for Sustainable Development and Sustainable Development Goals.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A5A5A"/>
        <w:sz w:val="16"/>
      </w:rPr>
      <w:t>Autorin: Natalie Weber | Referenz: Wirkungsökonomie | Version 1.0 | Stand Mai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1F6F68"/>
        <w:sz w:val="16"/>
      </w:rPr>
      <w:t>Wirkungsökonomie - Rang 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23B5D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F6F6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B08D57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23B5D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