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Rang 18 - Wissen, Wissenschaft, Forschung und Wirkungsinnovation</w:t>
      </w:r>
    </w:p>
    <w:p>
      <w:pPr>
        <w:jc w:val="center"/>
      </w:pPr>
      <w:r>
        <w:rPr>
          <w:sz w:val="22"/>
        </w:rPr>
        <w:t>Wissenschaft als Korrektursystem, Forschung als Wirkungswissen, Innovation als Systemlernen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Portalstartseite - Zweck</w:t>
      </w:r>
    </w:p>
    <w:p>
      <w:r>
        <w:t>5. Leitidee</w:t>
      </w:r>
    </w:p>
    <w:p>
      <w:r>
        <w:t>6. Unterbereiche</w:t>
      </w:r>
    </w:p>
    <w:p>
      <w:r>
        <w:t>7. Downloads und Onlinefassungen</w:t>
      </w:r>
    </w:p>
    <w:p>
      <w:r>
        <w:br w:type="page"/>
      </w:r>
    </w:p>
    <w:p>
      <w:pPr>
        <w:pStyle w:val="Heading1"/>
      </w:pPr>
      <w:r>
        <w:t>1. Einordnung</w:t>
      </w:r>
    </w:p>
    <w:p>
      <w:r>
        <w:t>Wissen, Wissenschaft, Forschung und Wirkungsinnovation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Portalstartseite - Zweck</w:t>
      </w:r>
    </w:p>
    <w:p>
      <w:r>
        <w:t>Das Portal Rang 18 bündelt alle Inhalte zu Wissenschaft, Forschung, öffentlicher Wahrheit, Wirkungsinnovation, Wissenschaftsgovernance, Forschungsbewertung, Open Science, Science for Policy, Rechtsprechung und Wirkungskompetenz. Es macht sichtbar, dass die Wirkungsökonomie nicht nur Daten sammelt, sondern Wissen, Methode, Korrektur, Recht und demokratische Kontrolle braucht.</w:t>
      </w:r>
    </w:p>
    <w:p>
      <w:pPr>
        <w:pStyle w:val="Heading1"/>
      </w:pPr>
      <w:r>
        <w:t>5. Leitidee</w:t>
      </w:r>
    </w:p>
    <w:p>
      <w:r>
        <w:t>Wissenschaft ist kein Wahrheitsmonopol. Wissenschaft ist ein Korrektursystem. Forschung ist keine bloße Publikationsmaschine. Forschung ist eine Quelle gesellschaftlicher Problemlösung, aber nur, wenn Freiheit, Integrität, Replikation, Datenqualität und offene Kritik geschützt werden. Innovation ist keine Kapitalbeschleunigung, sondern evolutionäres Systemlernen in Richtung Mensch, Planet und Demokratie.</w:t>
      </w:r>
    </w:p>
    <w:p>
      <w:pPr>
        <w:pStyle w:val="Heading1"/>
      </w:pPr>
      <w:r>
        <w:t>6. Unterbereiche</w:t>
      </w:r>
    </w:p>
    <w:p>
      <w:r>
        <w:t>Die Portalarchitektur umfasst: Wissenschaft als Wirklichkeitsprüfung, Wissensrat, Open Science, Forschungsbewertung, Wissenschafts-Wirkungsindikatoren, Wirkungsinnovation, Transdisziplinarität, Science for Policy, öffentliche Statistik, Replikation, Rechtsprechung und Wirkungskompetenz-Akademie.</w:t>
      </w:r>
    </w:p>
    <w:p>
      <w:pPr>
        <w:pStyle w:val="Heading1"/>
      </w:pPr>
      <w:r>
        <w:t>7. Downloads und Onlinefassungen</w:t>
      </w:r>
    </w:p>
    <w:p>
      <w:r>
        <w:t>Alle Inhalte müssen online vollständig lesbar sein und zusätzlich als PDF und DOCX vorliegen. Die Downloadseite enthält ZIP-Gesamtpaket, Gesamtpaket-PDF, Gesamtpaket-DOCX, Konzeptpapier, Gesamtdossier, Detailkonzepte, Toolkarten, SDG-/SDG+-Block, politische Anschlussfähigkeit, Quellen und Glossarlinks.</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