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Open Science und öffentliche Wissensinfrastruktur</w:t>
      </w:r>
    </w:p>
    <w:p>
      <w:pPr>
        <w:jc w:val="center"/>
      </w:pPr>
      <w:r>
        <w:rPr>
          <w:sz w:val="22"/>
        </w:rPr>
        <w:t>Open Access, Open Data, Citizen Science und faire Wissenszugänge als öffentliche Infrastruktur der Wirkungsökonomie.</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Open Access</w:t>
      </w:r>
    </w:p>
    <w:p>
      <w:r>
        <w:t>19. Fokus: Open Data</w:t>
      </w:r>
    </w:p>
    <w:p>
      <w:r>
        <w:t>20. Fokus: Citizen Science</w:t>
      </w:r>
    </w:p>
    <w:p>
      <w:r>
        <w:t>21. Fokus: Wissensgerechtigkeit</w:t>
      </w:r>
    </w:p>
    <w:p>
      <w:r>
        <w:t>22. Fokus: Datenräume</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Open Science und öffentliche Wissensinfrastruktur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Open Science und öffentliche Wissensinfrastruktur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Open Science und öffentliche Wissensinfrastruktur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Open Science und öffentliche Wissensinfrastruktur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Open Science und öffentliche Wissensinfrastruktur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Open Science und öffentliche Wissensinfrastruktur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Open Science und öffentliche Wissensinfrastruktur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Open Access</w:t>
      </w:r>
    </w:p>
    <w:p>
      <w:r>
        <w:t>Open Access ist in diesem Detailkonzept kein Schlagwort, sondern ein Wirkungsbaustein. Es muss beschrieben werden, welcher Zustand verändert wird, welche Daten die Veränderung belegen, welche Risiken bestehen, welche Akteure beteiligt sind und wie Korrektur möglich bleibt. So wird Open Access von einem Programmpunkt zu einem prüfbaren Element der Wirkungsarchitektur.</w:t>
      </w:r>
    </w:p>
    <w:p>
      <w:pPr>
        <w:pStyle w:val="Heading1"/>
      </w:pPr>
      <w:r>
        <w:t>19. Fokus: Open Data</w:t>
      </w:r>
    </w:p>
    <w:p>
      <w:r>
        <w:t>Open Data ist in diesem Detailkonzept kein Schlagwort, sondern ein Wirkungsbaustein. Es muss beschrieben werden, welcher Zustand verändert wird, welche Daten die Veränderung belegen, welche Risiken bestehen, welche Akteure beteiligt sind und wie Korrektur möglich bleibt. So wird Open Data von einem Programmpunkt zu einem prüfbaren Element der Wirkungsarchitektur.</w:t>
      </w:r>
    </w:p>
    <w:p>
      <w:pPr>
        <w:pStyle w:val="Heading1"/>
      </w:pPr>
      <w:r>
        <w:t>20. Fokus: Citizen Science</w:t>
      </w:r>
    </w:p>
    <w:p>
      <w:r>
        <w:t>Citizen Science ist in diesem Detailkonzept kein Schlagwort, sondern ein Wirkungsbaustein. Es muss beschrieben werden, welcher Zustand verändert wird, welche Daten die Veränderung belegen, welche Risiken bestehen, welche Akteure beteiligt sind und wie Korrektur möglich bleibt. So wird Citizen Science von einem Programmpunkt zu einem prüfbaren Element der Wirkungsarchitektur.</w:t>
      </w:r>
    </w:p>
    <w:p>
      <w:pPr>
        <w:pStyle w:val="Heading1"/>
      </w:pPr>
      <w:r>
        <w:t>21. Fokus: Wissensgerechtigkeit</w:t>
      </w:r>
    </w:p>
    <w:p>
      <w:r>
        <w:t>Wissensgerechtigkeit ist in diesem Detailkonzept kein Schlagwort, sondern ein Wirkungsbaustein. Es muss beschrieben werden, welcher Zustand verändert wird, welche Daten die Veränderung belegen, welche Risiken bestehen, welche Akteure beteiligt sind und wie Korrektur möglich bleibt. So wird Wissensgerechtigkeit von einem Programmpunkt zu einem prüfbaren Element der Wirkungsarchitektur.</w:t>
      </w:r>
    </w:p>
    <w:p>
      <w:pPr>
        <w:pStyle w:val="Heading1"/>
      </w:pPr>
      <w:r>
        <w:t>22. Fokus: Datenräume</w:t>
      </w:r>
    </w:p>
    <w:p>
      <w:r>
        <w:t>Datenräume ist in diesem Detailkonzept kein Schlagwort, sondern ein Wirkungsbaustein. Es muss beschrieben werden, welcher Zustand verändert wird, welche Daten die Veränderung belegen, welche Risiken bestehen, welche Akteure beteiligt sind und wie Korrektur möglich bleibt. So wird Datenräume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