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Portalstartseite Rang 19 - Internationale Ordnung, Globalisierung und Geopolitik</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Internationale Ordnung, Globalisierung und Geopolitik</w:t>
      </w:r>
    </w:p>
    <w:p>
      <w:pPr>
        <w:spacing w:after="100"/>
      </w:pPr>
      <w:r>
        <w:t>Rang 19 übersetzt die Wirkungsökonomie auf die internationale Ebene. Wirkung endet nicht an Grenzen. Produkte, Kapital, Daten, Energie, Rohstoffe, Emissionen, Desinformation, Migration, Lieferketten und Sicherheitsrisiken wirken grenzüberschreitend. Deshalb braucht die Wirkungsökonomie eine weltfähige, aber nicht weltbeherrschende Ordnung.</w:t>
      </w:r>
    </w:p>
    <w:p>
      <w:pPr>
        <w:spacing w:after="100"/>
      </w:pPr>
      <w:r>
        <w:t>Weltfähig bedeutet: anschlussfähig, übersetzbar, interoperabel, demokratisch begrenzt, wissenschaftlich prüfbar und kulturell nicht-dominant. Die Wirkungsökonomie wird nicht global, indem überall identische Institutionen entstehen. Sie wird global, wenn dieselbe Grundfrage in unterschiedlichen Kontexten stellbar wird: Welche Wirkung entsteht wirklich für Mensch, Planet und Demokratie?</w:t>
      </w:r>
    </w:p>
    <w:p>
      <w:pPr>
        <w:pStyle w:val="Heading2"/>
      </w:pPr>
      <w:r>
        <w:rPr>
          <w:color w:val="1F4E46"/>
        </w:rPr>
        <w:t>Portalstruktur</w:t>
      </w:r>
    </w:p>
    <w:p>
      <w:pPr>
        <w:pStyle w:val="ListBullet"/>
        <w:spacing w:after="40"/>
      </w:pPr>
      <w:r>
        <w:t>Konzeptpapier</w:t>
      </w:r>
    </w:p>
    <w:p>
      <w:pPr>
        <w:pStyle w:val="ListBullet"/>
        <w:spacing w:after="40"/>
      </w:pPr>
      <w:r>
        <w:t>Gesamtdossier</w:t>
      </w:r>
    </w:p>
    <w:p>
      <w:pPr>
        <w:pStyle w:val="ListBullet"/>
        <w:spacing w:after="40"/>
      </w:pPr>
      <w:r>
        <w:t>Europa als Wirkungsraum</w:t>
      </w:r>
    </w:p>
    <w:p>
      <w:pPr>
        <w:pStyle w:val="ListBullet"/>
        <w:spacing w:after="40"/>
      </w:pPr>
      <w:r>
        <w:t>Wirkungsbasierter Handel und Lieferketten</w:t>
      </w:r>
    </w:p>
    <w:p>
      <w:pPr>
        <w:pStyle w:val="ListBullet"/>
        <w:spacing w:after="40"/>
      </w:pPr>
      <w:r>
        <w:t>CBAM, Grenzausgleich und externe Kosten</w:t>
      </w:r>
    </w:p>
    <w:p>
      <w:pPr>
        <w:pStyle w:val="ListBullet"/>
        <w:spacing w:after="40"/>
      </w:pPr>
      <w:r>
        <w:t>Globale Wirkungsgovernance ohne Weltregierung</w:t>
      </w:r>
    </w:p>
    <w:p>
      <w:pPr>
        <w:pStyle w:val="ListBullet"/>
        <w:spacing w:after="40"/>
      </w:pPr>
      <w:r>
        <w:t>Klimagerechtigkeit und Ressourcenfairness</w:t>
      </w:r>
    </w:p>
    <w:p>
      <w:pPr>
        <w:pStyle w:val="ListBullet"/>
        <w:spacing w:after="40"/>
      </w:pPr>
      <w:r>
        <w:t>Multipolare Ordnung und kulturelle Anschlussfähigkeit</w:t>
      </w:r>
    </w:p>
    <w:p>
      <w:pPr>
        <w:pStyle w:val="ListBullet"/>
        <w:spacing w:after="40"/>
      </w:pPr>
      <w:r>
        <w:t>Globale Resilienz und Frühwarnkooperation</w:t>
      </w:r>
    </w:p>
    <w:p>
      <w:pPr>
        <w:pStyle w:val="ListBullet"/>
        <w:spacing w:after="40"/>
      </w:pPr>
      <w:r>
        <w:t>Entwicklungspartnerschaften und Wirkungsfonds</w:t>
      </w:r>
    </w:p>
    <w:p>
      <w:pPr>
        <w:pStyle w:val="ListBullet"/>
        <w:spacing w:after="40"/>
      </w:pPr>
      <w:r>
        <w:t>Globale WÖk-IDs, Datenstandards und Interoperabilität</w:t>
      </w:r>
    </w:p>
    <w:p>
      <w:pPr>
        <w:pStyle w:val="ListBullet"/>
        <w:spacing w:after="40"/>
      </w:pPr>
      <w:r>
        <w:t>Geopolitische Wirkungsrisiken, Desinformation und Demokratie</w:t>
      </w:r>
    </w:p>
    <w:p>
      <w:pPr>
        <w:pStyle w:val="Heading2"/>
      </w:pPr>
      <w:r>
        <w:rPr>
          <w:color w:val="1F4E46"/>
        </w:rPr>
        <w:t>Leitgedanke</w:t>
      </w:r>
    </w:p>
    <w:p>
      <w:pPr>
        <w:spacing w:after="100"/>
      </w:pPr>
      <w:r>
        <w:t>Globale Kooperation ist nicht dasselbe wie globale Herrschaft. Gemeinsame Maßstäbe schaffen Orientierung, Vergleichbarkeit und Rückkopplung. Politische Entscheidungen bleiben demokratisch, lokal übersetzbar und rechtlich begrenzt.</w:t>
      </w:r>
    </w:p>
    <w:p>
      <w:pPr>
        <w:pStyle w:val="Heading2"/>
      </w:pPr>
      <w:r>
        <w:rPr>
          <w:color w:val="1F4E46"/>
        </w:rPr>
        <w:t>SDG- und SDG+-Bezug</w:t>
      </w:r>
    </w:p>
    <w:p>
      <w:pPr>
        <w:spacing w:after="100"/>
      </w:pPr>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Pr>
        <w:spacing w:after="100"/>
      </w:pPr>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Pr>
        <w:pStyle w:val="ListBullet"/>
        <w:spacing w:after="40"/>
      </w:pPr>
      <w:r>
        <w:t>SDG 1: Armutsbekämpfung und faire Entwicklungsbedingungen.</w:t>
      </w:r>
    </w:p>
    <w:p>
      <w:pPr>
        <w:pStyle w:val="ListBullet"/>
        <w:spacing w:after="40"/>
      </w:pPr>
      <w:r>
        <w:t>SDG 2: Ernährungssicherheit, resiliente Lieferketten und Krisenvorsorge.</w:t>
      </w:r>
    </w:p>
    <w:p>
      <w:pPr>
        <w:pStyle w:val="ListBullet"/>
        <w:spacing w:after="40"/>
      </w:pPr>
      <w:r>
        <w:t>SDG 6: Wasserstress, Nutzungskonflikte und globale Wasserwirkung.</w:t>
      </w:r>
    </w:p>
    <w:p>
      <w:pPr>
        <w:pStyle w:val="ListBullet"/>
        <w:spacing w:after="40"/>
      </w:pPr>
      <w:r>
        <w:t>SDG 7: Energiezugang, Versorgungssicherheit und faire Transformation.</w:t>
      </w:r>
    </w:p>
    <w:p>
      <w:pPr>
        <w:pStyle w:val="ListBullet"/>
        <w:spacing w:after="40"/>
      </w:pPr>
      <w:r>
        <w:t>SDG 8: menschenwürdige Arbeit in globalen Wertschöpfungsketten.</w:t>
      </w:r>
    </w:p>
    <w:p>
      <w:pPr>
        <w:pStyle w:val="ListBullet"/>
        <w:spacing w:after="40"/>
      </w:pPr>
      <w:r>
        <w:t>SDG 10: weniger Ungleichheiten zwischen und innerhalb von Staaten.</w:t>
      </w:r>
    </w:p>
    <w:p>
      <w:pPr>
        <w:pStyle w:val="ListBullet"/>
        <w:spacing w:after="40"/>
      </w:pPr>
      <w:r>
        <w:t>SDG 12: nachhaltige Produktion und Konsum entlang globaler Lieferketten.</w:t>
      </w:r>
    </w:p>
    <w:p>
      <w:pPr>
        <w:pStyle w:val="ListBullet"/>
        <w:spacing w:after="40"/>
      </w:pPr>
      <w:r>
        <w:t>SDG 13: Klimaschutz, Anpassung und Klimagerechtigkeit.</w:t>
      </w:r>
    </w:p>
    <w:p>
      <w:pPr>
        <w:pStyle w:val="ListBullet"/>
        <w:spacing w:after="40"/>
      </w:pPr>
      <w:r>
        <w:t>SDG 16: Frieden, Rechtsstaatlichkeit, Institutionen und Schutz vor Korruption.</w:t>
      </w:r>
    </w:p>
    <w:p>
      <w:pPr>
        <w:pStyle w:val="ListBullet"/>
        <w:spacing w:after="40"/>
      </w:pPr>
      <w:r>
        <w:t>SDG 17: Partnerschaften, Standards, Daten, Finanzierung und internationale Kooperation.</w:t>
      </w:r>
    </w:p>
    <w:p>
      <w:pPr>
        <w:pStyle w:val="Heading2"/>
      </w:pPr>
      <w:r>
        <w:rPr>
          <w:color w:val="1F4E46"/>
        </w:rPr>
        <w:t>Politische Anschlussfähigkeit und Umsetzungsoptionen</w:t>
      </w:r>
    </w:p>
    <w:p>
      <w:pPr>
        <w:spacing w:after="100"/>
      </w:pPr>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Pr>
        <w:spacing w:after="100"/>
      </w:pPr>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Pr>
        <w:pStyle w:val="ListBullet"/>
        <w:spacing w:after="40"/>
      </w:pPr>
      <w:r>
        <w:t>Aufgabe der Politik: globale Wirkungen sichtbar machen, ohne nationale Demokratie zu ersetzen.</w:t>
      </w:r>
    </w:p>
    <w:p>
      <w:pPr>
        <w:pStyle w:val="ListBullet"/>
        <w:spacing w:after="40"/>
      </w:pPr>
      <w:r>
        <w:t>Rahmenbedingungen: Rechtsstaat, Menschenrechte, internationale Abkommen, EU-Recht, WTO-Regeln, SDGs, SDG+ und Schutz öffentlicher Güter.</w:t>
      </w:r>
    </w:p>
    <w:p>
      <w:pPr>
        <w:pStyle w:val="ListBullet"/>
        <w:spacing w:after="40"/>
      </w:pPr>
      <w:r>
        <w:t>Zielkonflikte: offene Märkte versus Schutz vor externalisierten Schäden, geopolitische Sicherheit versus Kooperation, kulturelle Übersetzung versus klare Schutzgüter.</w:t>
      </w:r>
    </w:p>
    <w:p>
      <w:pPr>
        <w:pStyle w:val="ListBullet"/>
        <w:spacing w:after="40"/>
      </w:pPr>
      <w:r>
        <w:t>Rollenverteilung: Staaten setzen Regeln, Institutionen prüfen, Unternehmen berichten, Wissenschaft validiert, Zivilgesellschaft kontrolliert, Kommunen und Regionen übersetzen vor Ort.</w:t>
      </w:r>
    </w:p>
    <w:p>
      <w:pPr>
        <w:pStyle w:val="ListBullet"/>
        <w:spacing w:after="40"/>
      </w:pPr>
      <w:r>
        <w:t>Schutz vor Technokratie: keine Weltregierung, keine Personenbewertung, keine verdeckte Datenherrschaft, keine Expertokratie.</w:t>
      </w:r>
    </w:p>
    <w:p>
      <w:pPr>
        <w:pStyle w:val="ListBullet"/>
        <w:spacing w:after="40"/>
      </w:pPr>
      <w:r>
        <w:t>Evaluation: Indikatoren müssen öffentlich, korrigierbar, versioniert und demokratisch kontrolliert sein.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