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Klimagerechtigkeit und Ressourcenfairness</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Klimagerechtigkeit und Ressourcenfairness</w:t>
      </w:r>
    </w:p>
    <w:p>
      <w:pPr>
        <w:spacing w:after="100"/>
      </w:pPr>
      <w:r>
        <w:t>Klimagerechtigkeit und Ressourcenfairness verbinden historische Verantwortung, gegenwärtige Verwundbarkeit, Rohstoffabhängigkeit, technologische Teilgabe und faire Finanzierung.</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Klimagerechtigkeit und Ressourcenfairness verbinden historische Verantwortung, gegenwärtige Verwundbarkeit, Rohstoffabhängigkeit, technologische Teilgabe und faire Finanzierung.</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Historische Emissionsverantwortung</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Klimaverwundbarkeit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Rohstoffabhängigkeit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Anteil lokaler Wertschöpfung</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Ein Land mit geringer historischer Emission kann stark von Klimafolgen betroffen sein. Wirkungsökonomie macht diese asymmetrische Belastung sichtbar und überführt sie in Finanzierung, Partnerschaften und Risikoausgleich.</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Klimagerechtigkeit und Ressourcenfairness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Klimagerechtigkeit und Ressourcenfairness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Klimagerechtigkeit und Ressourcenfairness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Klimagerechtigkeit und Ressourcenfairness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Klimagerechtigkeit und Ressourcenfairness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"Klimagerechtigkeit und Ressourcenfairness"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"Klimagerechtigkeit und Ressourcenfairness"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"Klimagerechtigkeit und Ressourcenfairness"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"Klimagerechtigkeit und Ressourcenfairness"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"Klimagerechtigkeit und Ressourcenfairness"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"Klimagerechtigkeit und Ressourcenfairness"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