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Wirkungsindikatoren Rang 19</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Wirkungsindikatoren Rang 19</w:t>
      </w:r>
    </w:p>
    <w:p>
      <w:pPr>
        <w:spacing w:after="100"/>
      </w:pPr>
      <w:r>
        <w:t>Die Indikatoren für Rang 19 dürfen keine globale Kontrollmaschine erzeugen. Sie sind Orientierung für Wirkungsräume, in denen Schäden und Schutzgüter sonst unsichtbar bleiben. Bewertet werden Strukturen, Lieferketten, Programme, Finanzflüsse und institutionelle Wirkungen, nicht private Personen.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WÖk-ID-Gruppe</w:t>
            </w:r>
          </w:p>
        </w:tc>
        <w:tc>
          <w:tcPr>
            <w:tcW w:type="dxa" w:w="2550"/>
            <w:vAlign w:val="top"/>
          </w:tcPr>
          <w:p>
            <w:r>
              <w:t>Indikatorfamilie</w:t>
            </w:r>
          </w:p>
        </w:tc>
        <w:tc>
          <w:tcPr>
            <w:tcW w:type="dxa" w:w="2550"/>
            <w:vAlign w:val="top"/>
          </w:tcPr>
          <w:p>
            <w:r>
              <w:t>Bezug</w:t>
            </w:r>
          </w:p>
        </w:tc>
        <w:tc>
          <w:tcPr>
            <w:tcW w:type="dxa" w:w="2550"/>
            <w:vAlign w:val="top"/>
          </w:tcPr>
          <w:p>
            <w:r>
              <w:t>Datenquellen</w:t>
            </w:r>
          </w:p>
        </w:tc>
      </w:tr>
      <w:tr>
        <w:tc>
          <w:tcPr>
            <w:tcW w:type="dxa" w:w="2550"/>
            <w:vAlign w:val="top"/>
          </w:tcPr>
          <w:p>
            <w:r>
              <w:t>WOK-GLOB-101</w:t>
            </w:r>
          </w:p>
        </w:tc>
        <w:tc>
          <w:tcPr>
            <w:tcW w:type="dxa" w:w="2550"/>
            <w:vAlign w:val="top"/>
          </w:tcPr>
          <w:p>
            <w:r>
              <w:t>Globale Lieferketten-Transparenz</w:t>
            </w:r>
          </w:p>
        </w:tc>
        <w:tc>
          <w:tcPr>
            <w:tcW w:type="dxa" w:w="2550"/>
            <w:vAlign w:val="top"/>
          </w:tcPr>
          <w:p>
            <w:r>
              <w:t>SDG 8, 12, 17</w:t>
            </w:r>
          </w:p>
        </w:tc>
        <w:tc>
          <w:tcPr>
            <w:tcW w:type="dxa" w:w="2550"/>
            <w:vAlign w:val="top"/>
          </w:tcPr>
          <w:p>
            <w:r>
              <w:t>CSRD, ESRS, DPP, Lieferkettendaten</w:t>
            </w:r>
          </w:p>
        </w:tc>
      </w:tr>
      <w:tr>
        <w:tc>
          <w:tcPr>
            <w:tcW w:type="dxa" w:w="2550"/>
            <w:vAlign w:val="top"/>
          </w:tcPr>
          <w:p>
            <w:r>
              <w:t>WOK-GLOB-102</w:t>
            </w:r>
          </w:p>
        </w:tc>
        <w:tc>
          <w:tcPr>
            <w:tcW w:type="dxa" w:w="2550"/>
            <w:vAlign w:val="top"/>
          </w:tcPr>
          <w:p>
            <w:r>
              <w:t>Wasserstress in globalen Vorstufen</w:t>
            </w:r>
          </w:p>
        </w:tc>
        <w:tc>
          <w:tcPr>
            <w:tcW w:type="dxa" w:w="2550"/>
            <w:vAlign w:val="top"/>
          </w:tcPr>
          <w:p>
            <w:r>
              <w:t>SDG 6, 12</w:t>
            </w:r>
          </w:p>
        </w:tc>
        <w:tc>
          <w:tcPr>
            <w:tcW w:type="dxa" w:w="2550"/>
            <w:vAlign w:val="top"/>
          </w:tcPr>
          <w:p>
            <w:r>
              <w:t>Wasserindikatoren, Lieferkette, Geodaten</w:t>
            </w:r>
          </w:p>
        </w:tc>
      </w:tr>
      <w:tr>
        <w:tc>
          <w:tcPr>
            <w:tcW w:type="dxa" w:w="2550"/>
            <w:vAlign w:val="top"/>
          </w:tcPr>
          <w:p>
            <w:r>
              <w:t>WOK-GLOB-103</w:t>
            </w:r>
          </w:p>
        </w:tc>
        <w:tc>
          <w:tcPr>
            <w:tcW w:type="dxa" w:w="2550"/>
            <w:vAlign w:val="top"/>
          </w:tcPr>
          <w:p>
            <w:r>
              <w:t>Eingebettete Emissionen und Grenzausgleich</w:t>
            </w:r>
          </w:p>
        </w:tc>
        <w:tc>
          <w:tcPr>
            <w:tcW w:type="dxa" w:w="2550"/>
            <w:vAlign w:val="top"/>
          </w:tcPr>
          <w:p>
            <w:r>
              <w:t>SDG 13</w:t>
            </w:r>
          </w:p>
        </w:tc>
        <w:tc>
          <w:tcPr>
            <w:tcW w:type="dxa" w:w="2550"/>
            <w:vAlign w:val="top"/>
          </w:tcPr>
          <w:p>
            <w:r>
              <w:t>CBAM, Produktdaten, Scope-3</w:t>
            </w:r>
          </w:p>
        </w:tc>
      </w:tr>
      <w:tr>
        <w:tc>
          <w:tcPr>
            <w:tcW w:type="dxa" w:w="2550"/>
            <w:vAlign w:val="top"/>
          </w:tcPr>
          <w:p>
            <w:r>
              <w:t>WOK-GLOB-104</w:t>
            </w:r>
          </w:p>
        </w:tc>
        <w:tc>
          <w:tcPr>
            <w:tcW w:type="dxa" w:w="2550"/>
            <w:vAlign w:val="top"/>
          </w:tcPr>
          <w:p>
            <w:r>
              <w:t>Arbeits- und Menschenrechtswirkung</w:t>
            </w:r>
          </w:p>
        </w:tc>
        <w:tc>
          <w:tcPr>
            <w:tcW w:type="dxa" w:w="2550"/>
            <w:vAlign w:val="top"/>
          </w:tcPr>
          <w:p>
            <w:r>
              <w:t>SDG 8, 10, 16</w:t>
            </w:r>
          </w:p>
        </w:tc>
        <w:tc>
          <w:tcPr>
            <w:tcW w:type="dxa" w:w="2550"/>
            <w:vAlign w:val="top"/>
          </w:tcPr>
          <w:p>
            <w:r>
              <w:t>ILO, Audits, Lieferantenbewertungen</w:t>
            </w:r>
          </w:p>
        </w:tc>
      </w:tr>
      <w:tr>
        <w:tc>
          <w:tcPr>
            <w:tcW w:type="dxa" w:w="2550"/>
            <w:vAlign w:val="top"/>
          </w:tcPr>
          <w:p>
            <w:r>
              <w:t>WOK-GLOB-105</w:t>
            </w:r>
          </w:p>
        </w:tc>
        <w:tc>
          <w:tcPr>
            <w:tcW w:type="dxa" w:w="2550"/>
            <w:vAlign w:val="top"/>
          </w:tcPr>
          <w:p>
            <w:r>
              <w:t>Rohstoffkonzentration und strategische Abhängigkeit</w:t>
            </w:r>
          </w:p>
        </w:tc>
        <w:tc>
          <w:tcPr>
            <w:tcW w:type="dxa" w:w="2550"/>
            <w:vAlign w:val="top"/>
          </w:tcPr>
          <w:p>
            <w:r>
              <w:t>SDG 9, 12</w:t>
            </w:r>
          </w:p>
        </w:tc>
        <w:tc>
          <w:tcPr>
            <w:tcW w:type="dxa" w:w="2550"/>
            <w:vAlign w:val="top"/>
          </w:tcPr>
          <w:p>
            <w:r>
              <w:t>Handelsstatistik, Rohstoffdaten</w:t>
            </w:r>
          </w:p>
        </w:tc>
      </w:tr>
      <w:tr>
        <w:tc>
          <w:tcPr>
            <w:tcW w:type="dxa" w:w="2550"/>
            <w:vAlign w:val="top"/>
          </w:tcPr>
          <w:p>
            <w:r>
              <w:t>WOK-GLOB-106</w:t>
            </w:r>
          </w:p>
        </w:tc>
        <w:tc>
          <w:tcPr>
            <w:tcW w:type="dxa" w:w="2550"/>
            <w:vAlign w:val="top"/>
          </w:tcPr>
          <w:p>
            <w:r>
              <w:t>Klimafinanzierung und Anpassungswirkung</w:t>
            </w:r>
          </w:p>
        </w:tc>
        <w:tc>
          <w:tcPr>
            <w:tcW w:type="dxa" w:w="2550"/>
            <w:vAlign w:val="top"/>
          </w:tcPr>
          <w:p>
            <w:r>
              <w:t>SDG 13, 17</w:t>
            </w:r>
          </w:p>
        </w:tc>
        <w:tc>
          <w:tcPr>
            <w:tcW w:type="dxa" w:w="2550"/>
            <w:vAlign w:val="top"/>
          </w:tcPr>
          <w:p>
            <w:r>
              <w:t>Fondsberichte, öffentliche Haushalte</w:t>
            </w:r>
          </w:p>
        </w:tc>
      </w:tr>
      <w:tr>
        <w:tc>
          <w:tcPr>
            <w:tcW w:type="dxa" w:w="2550"/>
            <w:vAlign w:val="top"/>
          </w:tcPr>
          <w:p>
            <w:r>
              <w:t>WOK-GLOB-107</w:t>
            </w:r>
          </w:p>
        </w:tc>
        <w:tc>
          <w:tcPr>
            <w:tcW w:type="dxa" w:w="2550"/>
            <w:vAlign w:val="top"/>
          </w:tcPr>
          <w:p>
            <w:r>
              <w:t>Globale Gesundheits- und Pandemieresilienz</w:t>
            </w:r>
          </w:p>
        </w:tc>
        <w:tc>
          <w:tcPr>
            <w:tcW w:type="dxa" w:w="2550"/>
            <w:vAlign w:val="top"/>
          </w:tcPr>
          <w:p>
            <w:r>
              <w:t>SDG 3</w:t>
            </w:r>
          </w:p>
        </w:tc>
        <w:tc>
          <w:tcPr>
            <w:tcW w:type="dxa" w:w="2550"/>
            <w:vAlign w:val="top"/>
          </w:tcPr>
          <w:p>
            <w:r>
              <w:t>WHO, Gesundheitsdaten, Frühwarnsysteme</w:t>
            </w:r>
          </w:p>
        </w:tc>
      </w:tr>
      <w:tr>
        <w:tc>
          <w:tcPr>
            <w:tcW w:type="dxa" w:w="2550"/>
            <w:vAlign w:val="top"/>
          </w:tcPr>
          <w:p>
            <w:r>
              <w:t>WOK-GLOB-108</w:t>
            </w:r>
          </w:p>
        </w:tc>
        <w:tc>
          <w:tcPr>
            <w:tcW w:type="dxa" w:w="2550"/>
            <w:vAlign w:val="top"/>
          </w:tcPr>
          <w:p>
            <w:r>
              <w:t>Desinformations- und Demokratierisiko</w:t>
            </w:r>
          </w:p>
        </w:tc>
        <w:tc>
          <w:tcPr>
            <w:tcW w:type="dxa" w:w="2550"/>
            <w:vAlign w:val="top"/>
          </w:tcPr>
          <w:p>
            <w:r>
              <w:t>SDG+</w:t>
            </w:r>
          </w:p>
        </w:tc>
        <w:tc>
          <w:tcPr>
            <w:tcW w:type="dxa" w:w="2550"/>
            <w:vAlign w:val="top"/>
          </w:tcPr>
          <w:p>
            <w:r>
              <w:t>Medienmonitoring, Plattformtransparenz</w:t>
            </w:r>
          </w:p>
        </w:tc>
      </w:tr>
      <w:tr>
        <w:tc>
          <w:tcPr>
            <w:tcW w:type="dxa" w:w="2550"/>
            <w:vAlign w:val="top"/>
          </w:tcPr>
          <w:p>
            <w:r>
              <w:t>WOK-GLOB-109</w:t>
            </w:r>
          </w:p>
        </w:tc>
        <w:tc>
          <w:tcPr>
            <w:tcW w:type="dxa" w:w="2550"/>
            <w:vAlign w:val="top"/>
          </w:tcPr>
          <w:p>
            <w:r>
              <w:t>Datenhoheit und Interoperabilität</w:t>
            </w:r>
          </w:p>
        </w:tc>
        <w:tc>
          <w:tcPr>
            <w:tcW w:type="dxa" w:w="2550"/>
            <w:vAlign w:val="top"/>
          </w:tcPr>
          <w:p>
            <w:r>
              <w:t>SDG 9, SDG+</w:t>
            </w:r>
          </w:p>
        </w:tc>
        <w:tc>
          <w:tcPr>
            <w:tcW w:type="dxa" w:w="2550"/>
            <w:vAlign w:val="top"/>
          </w:tcPr>
          <w:p>
            <w:r>
              <w:t>Datenräume, Standards, Audit</w:t>
            </w:r>
          </w:p>
        </w:tc>
      </w:tr>
      <w:tr>
        <w:tc>
          <w:tcPr>
            <w:tcW w:type="dxa" w:w="2550"/>
            <w:vAlign w:val="top"/>
          </w:tcPr>
          <w:p>
            <w:r>
              <w:t>WOK-GLOB-110</w:t>
            </w:r>
          </w:p>
        </w:tc>
        <w:tc>
          <w:tcPr>
            <w:tcW w:type="dxa" w:w="2550"/>
            <w:vAlign w:val="top"/>
          </w:tcPr>
          <w:p>
            <w:r>
              <w:t>Partnerschafts- und Teilgabewirkung</w:t>
            </w:r>
          </w:p>
        </w:tc>
        <w:tc>
          <w:tcPr>
            <w:tcW w:type="dxa" w:w="2550"/>
            <w:vAlign w:val="top"/>
          </w:tcPr>
          <w:p>
            <w:r>
              <w:t>SDG 17</w:t>
            </w:r>
          </w:p>
        </w:tc>
        <w:tc>
          <w:tcPr>
            <w:tcW w:type="dxa" w:w="2550"/>
            <w:vAlign w:val="top"/>
          </w:tcPr>
          <w:p>
            <w:r>
              <w:t>Projektberichte, lokale Beteiligung</w:t>
            </w:r>
          </w:p>
        </w:tc>
      </w:tr>
    </w:tbl>
    <w:p>
      <w:pPr>
        <w:pStyle w:val="Heading2"/>
      </w:pPr>
      <w:r>
        <w:rPr>
          <w:color w:val="1F4E46"/>
        </w:rPr>
        <w:t>Bewertungslogik</w:t>
      </w:r>
    </w:p>
    <w:p>
      <w:pPr>
        <w:spacing w:after="100"/>
      </w:pPr>
      <w:r>
        <w:t>Alle Indikatoren werden in Kontext, Datenqualität, Reichweite, Dauer, Betroffenheit und Nichtkompensation bewertet. Schwere Verletzungen von Menschenwürde, demokratischer Stabilität, Biodiversität, Rechtsstaat oder ökologischen Lebensgrundlagen dürfen nicht durch positive Effekte in anderen Feldern beliebig kompensiert werden.</w:t>
      </w:r>
    </w:p>
    <w:p>
      <w:pPr>
        <w:pStyle w:val="Heading2"/>
      </w:pPr>
      <w:r>
        <w:rPr>
          <w:color w:val="1F4E46"/>
        </w:rPr>
        <w:t>SDG- und SDG+-Bezug</w:t>
      </w:r>
    </w:p>
    <w:p>
      <w:pPr>
        <w:spacing w:after="100"/>
      </w:pPr>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Pr>
        <w:spacing w:after="100"/>
      </w:pPr>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Pr>
        <w:pStyle w:val="ListBullet"/>
        <w:spacing w:after="40"/>
      </w:pPr>
      <w:r>
        <w:t>SDG 1: Armutsbekämpfung und faire Entwicklungsbedingungen.</w:t>
      </w:r>
    </w:p>
    <w:p>
      <w:pPr>
        <w:pStyle w:val="ListBullet"/>
        <w:spacing w:after="40"/>
      </w:pPr>
      <w:r>
        <w:t>SDG 2: Ernährungssicherheit, resiliente Lieferketten und Krisenvorsorge.</w:t>
      </w:r>
    </w:p>
    <w:p>
      <w:pPr>
        <w:pStyle w:val="ListBullet"/>
        <w:spacing w:after="40"/>
      </w:pPr>
      <w:r>
        <w:t>SDG 6: Wasserstress, Nutzungskonflikte und globale Wasserwirkung.</w:t>
      </w:r>
    </w:p>
    <w:p>
      <w:pPr>
        <w:pStyle w:val="ListBullet"/>
        <w:spacing w:after="40"/>
      </w:pPr>
      <w:r>
        <w:t>SDG 7: Energiezugang, Versorgungssicherheit und faire Transformation.</w:t>
      </w:r>
    </w:p>
    <w:p>
      <w:pPr>
        <w:pStyle w:val="ListBullet"/>
        <w:spacing w:after="40"/>
      </w:pPr>
      <w:r>
        <w:t>SDG 8: menschenwürdige Arbeit in globalen Wertschöpfungsketten.</w:t>
      </w:r>
    </w:p>
    <w:p>
      <w:pPr>
        <w:pStyle w:val="ListBullet"/>
        <w:spacing w:after="40"/>
      </w:pPr>
      <w:r>
        <w:t>SDG 10: weniger Ungleichheiten zwischen und innerhalb von Staaten.</w:t>
      </w:r>
    </w:p>
    <w:p>
      <w:pPr>
        <w:pStyle w:val="ListBullet"/>
        <w:spacing w:after="40"/>
      </w:pPr>
      <w:r>
        <w:t>SDG 12: nachhaltige Produktion und Konsum entlang globaler Lieferketten.</w:t>
      </w:r>
    </w:p>
    <w:p>
      <w:pPr>
        <w:pStyle w:val="ListBullet"/>
        <w:spacing w:after="40"/>
      </w:pPr>
      <w:r>
        <w:t>SDG 13: Klimaschutz, Anpassung und Klimagerechtigkeit.</w:t>
      </w:r>
    </w:p>
    <w:p>
      <w:pPr>
        <w:pStyle w:val="ListBullet"/>
        <w:spacing w:after="40"/>
      </w:pPr>
      <w:r>
        <w:t>SDG 16: Frieden, Rechtsstaatlichkeit, Institutionen und Schutz vor Korruption.</w:t>
      </w:r>
    </w:p>
    <w:p>
      <w:pPr>
        <w:pStyle w:val="ListBullet"/>
        <w:spacing w:after="40"/>
      </w:pPr>
      <w:r>
        <w:t>SDG 17: Partnerschaften, Standards, Daten, Finanzierung und internationale Kooperation.</w:t>
      </w:r>
    </w:p>
    <w:p>
      <w:pPr>
        <w:pStyle w:val="Heading2"/>
      </w:pPr>
      <w:r>
        <w:rPr>
          <w:color w:val="1F4E46"/>
        </w:rPr>
        <w:t>Politische Anschlussfähigkeit und Umsetzungsoptionen</w:t>
      </w:r>
    </w:p>
    <w:p>
      <w:pPr>
        <w:spacing w:after="100"/>
      </w:pPr>
      <w:r>
        <w:t>Die Wirkungsökonomie liefert keinen fertigen außenpolitischen Parteiprogrammtext. Sie liefert einen Bewertungs- und Steuerungsrahmen, der sichtbar macht, welche internationale Ordnung positive Netto-Wirkung für Mensch, Planet und Demokratie erzeugt und wo negative Wirkungen ausgelagert werden.</w:t>
      </w:r>
    </w:p>
    <w:p>
      <w:pPr>
        <w:spacing w:after="100"/>
      </w:pPr>
      <w:r>
        <w:t>Parteien behalten Ausgestaltungsspielraum bei Handelspolitik, Entwicklungspolitik, Sicherheitsarchitektur, Europa, Migration, Rohstoffstrategie, Klimafinanzierung, Industriepolitik und digitaler Souveränität. Entscheidend ist nicht die parteipolitische Richtung, sondern die überprüfbare Wirkung.</w:t>
      </w:r>
    </w:p>
    <w:p>
      <w:pPr>
        <w:pStyle w:val="ListBullet"/>
        <w:spacing w:after="40"/>
      </w:pPr>
      <w:r>
        <w:t>Aufgabe der Politik: globale Wirkungen sichtbar machen, ohne nationale Demokratie zu ersetzen.</w:t>
      </w:r>
    </w:p>
    <w:p>
      <w:pPr>
        <w:pStyle w:val="ListBullet"/>
        <w:spacing w:after="40"/>
      </w:pPr>
      <w:r>
        <w:t>Rahmenbedingungen: Rechtsstaat, Menschenrechte, internationale Abkommen, EU-Recht, WTO-Regeln, SDGs, SDG+ und Schutz öffentlicher Güter.</w:t>
      </w:r>
    </w:p>
    <w:p>
      <w:pPr>
        <w:pStyle w:val="ListBullet"/>
        <w:spacing w:after="40"/>
      </w:pPr>
      <w:r>
        <w:t>Zielkonflikte: offene Märkte versus Schutz vor externalisierten Schäden, geopolitische Sicherheit versus Kooperation, kulturelle Übersetzung versus klare Schutzgüter.</w:t>
      </w:r>
    </w:p>
    <w:p>
      <w:pPr>
        <w:pStyle w:val="ListBullet"/>
        <w:spacing w:after="40"/>
      </w:pPr>
      <w:r>
        <w:t>Rollenverteilung: Staaten setzen Regeln, Institutionen prüfen, Unternehmen berichten, Wissenschaft validiert, Zivilgesellschaft kontrolliert, Kommunen und Regionen übersetzen vor Ort.</w:t>
      </w:r>
    </w:p>
    <w:p>
      <w:pPr>
        <w:pStyle w:val="ListBullet"/>
        <w:spacing w:after="40"/>
      </w:pPr>
      <w:r>
        <w:t>Schutz vor Technokratie: keine Weltregierung, keine Personenbewertung, keine verdeckte Datenherrschaft, keine Expertokratie.</w:t>
      </w:r>
    </w:p>
    <w:p>
      <w:pPr>
        <w:pStyle w:val="ListBullet"/>
        <w:spacing w:after="40"/>
      </w:pPr>
      <w:r>
        <w:t>Evaluation: Indikatoren müssen öffentlich, korrigierbar, versioniert und demokratisch kontrolliert sein.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