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4E46"/>
          <w:sz w:val="40"/>
        </w:rPr>
        <w:t>Politische Anschlussfähigkeit Rang 19</w:t>
      </w:r>
    </w:p>
    <w:p>
      <w:r>
        <w:rPr>
          <w:sz w:val="18"/>
        </w:rPr>
        <w:t>Autorin: Natalie Weber</w:t>
        <w:br/>
        <w:t>Referenz: Wirkungsökonomie</w:t>
        <w:br/>
        <w:t>Version: 1.0</w:t>
        <w:br/>
        <w:t>Stand: Mai 2026</w:t>
        <w:br/>
        <w:t>Status: Langfassungsentwurf für Website, Akademie, Download und politische Anschlussfähigkeit</w:t>
      </w:r>
    </w:p>
    <w:p>
      <w:pPr>
        <w:pStyle w:val="Heading1"/>
      </w:pPr>
      <w:r>
        <w:rPr>
          <w:color w:val="1F4E46"/>
        </w:rPr>
        <w:t>Politische Anschlussfähigkeit Rang 19</w:t>
      </w:r>
    </w:p>
    <w:p>
      <w:pPr>
        <w:pStyle w:val="Heading2"/>
      </w:pPr>
      <w:r>
        <w:rPr>
          <w:color w:val="1F4E46"/>
        </w:rPr>
        <w:t>Politische Anschlussfähigkeit und Umsetzungsoptionen</w:t>
      </w:r>
    </w:p>
    <w:p>
      <w:pPr>
        <w:spacing w:after="100"/>
      </w:pPr>
      <w:r>
        <w:t>Die Wirkungsökonomie liefert keinen fertigen außenpolitischen Parteiprogrammtext. Sie liefert einen Bewertungs- und Steuerungsrahmen, der sichtbar macht, welche internationale Ordnung positive Netto-Wirkung für Mensch, Planet und Demokratie erzeugt und wo negative Wirkungen ausgelagert werden.</w:t>
      </w:r>
    </w:p>
    <w:p>
      <w:pPr>
        <w:spacing w:after="100"/>
      </w:pPr>
      <w:r>
        <w:t>Parteien behalten Ausgestaltungsspielraum bei Handelspolitik, Entwicklungspolitik, Sicherheitsarchitektur, Europa, Migration, Rohstoffstrategie, Klimafinanzierung, Industriepolitik und digitaler Souveränität. Entscheidend ist nicht die parteipolitische Richtung, sondern die überprüfbare Wirkung.</w:t>
      </w:r>
    </w:p>
    <w:p>
      <w:pPr>
        <w:pStyle w:val="ListBullet"/>
        <w:spacing w:after="40"/>
      </w:pPr>
      <w:r>
        <w:t>Aufgabe der Politik: globale Wirkungen sichtbar machen, ohne nationale Demokratie zu ersetzen.</w:t>
      </w:r>
    </w:p>
    <w:p>
      <w:pPr>
        <w:pStyle w:val="ListBullet"/>
        <w:spacing w:after="40"/>
      </w:pPr>
      <w:r>
        <w:t>Rahmenbedingungen: Rechtsstaat, Menschenrechte, internationale Abkommen, EU-Recht, WTO-Regeln, SDGs, SDG+ und Schutz öffentlicher Güter.</w:t>
      </w:r>
    </w:p>
    <w:p>
      <w:pPr>
        <w:pStyle w:val="ListBullet"/>
        <w:spacing w:after="40"/>
      </w:pPr>
      <w:r>
        <w:t>Zielkonflikte: offene Märkte versus Schutz vor externalisierten Schäden, geopolitische Sicherheit versus Kooperation, kulturelle Übersetzung versus klare Schutzgüter.</w:t>
      </w:r>
    </w:p>
    <w:p>
      <w:pPr>
        <w:pStyle w:val="ListBullet"/>
        <w:spacing w:after="40"/>
      </w:pPr>
      <w:r>
        <w:t>Rollenverteilung: Staaten setzen Regeln, Institutionen prüfen, Unternehmen berichten, Wissenschaft validiert, Zivilgesellschaft kontrolliert, Kommunen und Regionen übersetzen vor Ort.</w:t>
      </w:r>
    </w:p>
    <w:p>
      <w:pPr>
        <w:pStyle w:val="ListBullet"/>
        <w:spacing w:after="40"/>
      </w:pPr>
      <w:r>
        <w:t>Schutz vor Technokratie: keine Weltregierung, keine Personenbewertung, keine verdeckte Datenherrschaft, keine Expertokratie.</w:t>
      </w:r>
    </w:p>
    <w:p>
      <w:pPr>
        <w:pStyle w:val="ListBullet"/>
        <w:spacing w:after="40"/>
      </w:pPr>
      <w:r>
        <w:t>Evaluation: Indikatoren müssen öffentlich, korrigierbar, versioniert und demokratisch kontrolliert sein.</w:t>
      </w:r>
    </w:p>
    <w:p>
      <w:pPr>
        <w:pStyle w:val="Heading2"/>
      </w:pPr>
      <w:r>
        <w:rPr>
          <w:color w:val="1F4E46"/>
        </w:rPr>
        <w:t>Quellen und Anschlussrahmen</w:t>
      </w:r>
    </w:p>
    <w:p>
      <w:pPr>
        <w:spacing w:after="100"/>
      </w:pPr>
      <w:r>
        <w:t>Weber, Natalie: Die neue Ordnung des Wohlstands, Arbeitsfassung 2026, Teil XV: Internationale Ordnung, Globalisierung und Geopolitik, Kapitel 91 bis 96.</w:t>
      </w:r>
    </w:p>
    <w:p>
      <w:pPr>
        <w:spacing w:after="100"/>
      </w:pPr>
      <w:r>
        <w:t>Weber, Natalie: Führender Begriffsleitfaden der Wirkungsökonomie, Version 1.0, Stand 21. Mai 2026.</w:t>
      </w:r>
    </w:p>
    <w:p>
      <w:pPr>
        <w:spacing w:after="100"/>
      </w:pPr>
      <w:r>
        <w:t>United Nations: Transforming our world: the 2030 Agenda for Sustainable Development, Resolution A/RES/70/1, 2015. https://sdgs.un.org/2030agenda</w:t>
      </w:r>
    </w:p>
    <w:p>
      <w:pPr>
        <w:spacing w:after="100"/>
      </w:pPr>
      <w:r>
        <w:t>European Commission: Carbon Border Adjustment Mechanism, definitive regime from 2026 after transitional phase 2023 to 2025. https://taxation-customs.ec.europa.eu/carbon-border-adjustment-mechanism_en</w:t>
      </w:r>
    </w:p>
    <w:p>
      <w:pPr>
        <w:spacing w:after="100"/>
      </w:pPr>
      <w:r>
        <w:t>World Trade Organization: The WTO deals with the global rules of trade between nations. https://www.wto.org/</w:t>
      </w:r>
    </w:p>
    <w:p>
      <w:pPr>
        <w:spacing w:after="100"/>
      </w:pPr>
      <w:r>
        <w:t>World Trade Organization: The WTO and the Sustainable Development Goals. https://www.wto.org/english/thewto_e/coher_e/sdgs_e/sdgs_e.htm</w:t>
      </w:r>
    </w:p>
    <w:p>
      <w:pPr>
        <w:spacing w:after="100"/>
      </w:pPr>
      <w:r>
        <w:t>OECD: Development co-operation and the provision of global public goods, 2023. https://www.oecd.org/en/publications/development-co-operation-and-the-provision-of-global-public-goods_aff8cba9-en.html</w:t>
      </w:r>
    </w:p>
    <w:p>
      <w:pPr>
        <w:spacing w:after="100"/>
      </w:pPr>
      <w:r>
        <w:t>UNDP: Sustainable Development Goals as integrated global goals. https://www.undp.org/sustainable-development-goals</w:t>
      </w:r>
    </w:p>
    <w:sectPr w:rsidR="00FC693F" w:rsidRPr="0006063C" w:rsidSect="00034616">
      <w:pgSz w:w="12240" w:h="15840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