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Gesamtdossier Rang 20</w:t>
      </w:r>
    </w:p>
    <w:p>
      <w:pPr>
        <w:pStyle w:val="Subtitle"/>
      </w:pPr>
      <w:r>
        <w:t>Transformation, Übergänge und Implementierung der Wirkungsökonomie</w:t>
      </w:r>
    </w:p>
    <w:p>
      <w:pPr/>
      <w:r>
        <w:rPr>
          <w:sz w:val="16"/>
        </w:rPr>
        <w:t>Dokumenttyp: Gesamtdossier</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Umsetzung als eigener Fachbereich</w:t>
      </w:r>
    </w:p>
    <w:p>
      <w:pPr>
        <w:pStyle w:val="ListBullet"/>
      </w:pPr>
      <w:r>
        <w:t>4. Pilotfelder mit hoher Verständlichkeit</w:t>
      </w:r>
    </w:p>
    <w:p>
      <w:pPr>
        <w:pStyle w:val="ListBullet"/>
      </w:pPr>
      <w:r>
        <w:t>5. Mikro-Lenkung vor Makro-Lenkung</w:t>
      </w:r>
    </w:p>
    <w:p>
      <w:pPr>
        <w:pStyle w:val="ListBullet"/>
      </w:pPr>
      <w:r>
        <w:t>6. Soziale Legitimität</w:t>
      </w:r>
    </w:p>
    <w:p>
      <w:pPr>
        <w:pStyle w:val="ListBullet"/>
      </w:pPr>
      <w:r>
        <w:t>7. Demokratische Kontrolle und Fehlbarkeit</w:t>
      </w:r>
    </w:p>
    <w:p>
      <w:pPr>
        <w:pStyle w:val="ListBullet"/>
      </w:pPr>
      <w:r>
        <w:t>8. Datenquellen und Nachweisführung</w:t>
      </w:r>
    </w:p>
    <w:p>
      <w:pPr>
        <w:pStyle w:val="ListBullet"/>
      </w:pPr>
      <w:r>
        <w:t>9. Berechnungslogik und Bewertungsmodell</w:t>
      </w:r>
    </w:p>
    <w:p>
      <w:pPr>
        <w:pStyle w:val="ListBullet"/>
      </w:pPr>
      <w:r>
        <w:t>10. Governance und institutionelle Verantwortung</w:t>
      </w:r>
    </w:p>
    <w:p>
      <w:pPr>
        <w:pStyle w:val="ListBullet"/>
      </w:pPr>
      <w:r>
        <w:t>11. Umsetzungsbeispiel und Wirkpfad</w:t>
      </w:r>
    </w:p>
    <w:p>
      <w:pPr>
        <w:pStyle w:val="ListBullet"/>
      </w:pPr>
      <w:r>
        <w:t>12. Zielkonflikte und Schutzmechanismen</w:t>
      </w:r>
    </w:p>
    <w:p>
      <w:pPr>
        <w:pStyle w:val="ListBullet"/>
      </w:pPr>
      <w:r>
        <w:t>13. Anschluss an Website, Akademie und Downloads</w:t>
      </w:r>
    </w:p>
    <w:p>
      <w:pPr>
        <w:pStyle w:val="ListBullet"/>
      </w:pPr>
      <w:r>
        <w:t>14. Wirkungslogik</w:t>
      </w:r>
    </w:p>
    <w:p>
      <w:pPr>
        <w:pStyle w:val="ListBullet"/>
      </w:pPr>
      <w:r>
        <w:t>15. Warum Rang 20 notwendig ist</w:t>
      </w:r>
    </w:p>
    <w:p>
      <w:pPr>
        <w:pStyle w:val="ListBullet"/>
      </w:pPr>
      <w:r>
        <w:t>16. Leitprinzipien der Implementierung</w:t>
      </w:r>
    </w:p>
    <w:p>
      <w:pPr>
        <w:pStyle w:val="ListBullet"/>
      </w:pPr>
      <w:r>
        <w:t>17. Executive Summary</w:t>
      </w:r>
    </w:p>
    <w:p>
      <w:pPr>
        <w:pStyle w:val="ListBullet"/>
      </w:pPr>
      <w:r>
        <w:t>18. Teil A - Vom Konzept zur Pilotierung</w:t>
      </w:r>
    </w:p>
    <w:p>
      <w:pPr>
        <w:pStyle w:val="ListBullet"/>
      </w:pPr>
      <w:r>
        <w:t>19. Teil B - Reihenfolge der Einführung</w:t>
      </w:r>
    </w:p>
    <w:p>
      <w:pPr>
        <w:pStyle w:val="ListBullet"/>
      </w:pPr>
      <w:r>
        <w:t>20. Teil C - Lernschleifen und Versionierung</w:t>
      </w:r>
    </w:p>
    <w:p>
      <w:pPr>
        <w:pStyle w:val="ListBullet"/>
      </w:pPr>
      <w:r>
        <w:t>21. Teil D - Übergang ohne Systembruch</w:t>
      </w:r>
    </w:p>
    <w:p>
      <w:pPr>
        <w:pStyle w:val="ListBullet"/>
      </w:pPr>
      <w:r>
        <w:t>22. Teil E - Brückenfinanzierung und Wirkungs-Konversion</w:t>
      </w:r>
    </w:p>
    <w:p>
      <w:pPr>
        <w:pStyle w:val="ListBullet"/>
      </w:pPr>
      <w:r>
        <w:t>23. Teil F - Macht, Konflikt und Gegenmacht</w:t>
      </w:r>
    </w:p>
    <w:p>
      <w:pPr>
        <w:pStyle w:val="ListBullet"/>
      </w:pPr>
      <w:r>
        <w:t>24. Umsetzungsmatrix</w:t>
      </w:r>
    </w:p>
    <w:p>
      <w:pPr>
        <w:pStyle w:val="ListBullet"/>
      </w:pPr>
      <w:r>
        <w:t>25. Website- und Downloadanforderung</w:t>
      </w:r>
    </w:p>
    <w:p>
      <w:pPr>
        <w:pStyle w:val="ListBullet"/>
      </w:pPr>
      <w:r>
        <w:t>26. SDG- und SDG+-Bezug</w:t>
      </w:r>
    </w:p>
    <w:p>
      <w:pPr>
        <w:pStyle w:val="ListBullet"/>
      </w:pPr>
      <w:r>
        <w:t>27. Politische Anschlussfähigkeit und Umsetzungsoptionen</w:t>
      </w:r>
    </w:p>
    <w:p>
      <w:pPr>
        <w:pStyle w:val="ListBullet"/>
      </w:pPr>
      <w:r>
        <w:t>28. Quellenrahmen</w:t>
      </w:r>
    </w:p>
    <w:p>
      <w:pPr>
        <w:pStyle w:val="ListBullet"/>
      </w:pPr>
      <w:r>
        <w:t>29. Glossarlinks</w:t>
      </w:r>
    </w:p>
    <w:p>
      <w:pPr>
        <w:pStyle w:val="Heading1"/>
      </w:pPr>
      <w:r>
        <w:t>Dokumentinformationen</w:t>
      </w:r>
    </w:p>
    <w:p>
      <w:r>
        <w:t>Dokumenttyp: Gesamtdossier</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Das Gesamtdossier bündelt die Umsetzungsarchitektur für Rang 20: vom ersten Pilot über demokratische Kontrolle bis zur Skalierung in Recht, Haushalt, Beschaffung, Kapital, Unternehmen und Alltag.</w:t>
      </w:r>
    </w:p>
    <w:p>
      <w:pPr>
        <w:pStyle w:val="Heading1"/>
      </w:pPr>
      <w:r>
        <w:t>Umsetzung als eigener Fachbereich</w:t>
      </w:r>
    </w:p>
    <w:p>
      <w:r>
        <w:t>Rang 20 ist kein Anhang. Er ist ein eigenständiger Fachbereich, weil jedes Ordnungskonzept an seiner Umsetzung scheitern kann. Die Wirkungsökonomie verändert Maßstäbe, aber Maßstäbe werden erst wirksam, wenn Institutionen, Daten, Preise, Beschaffung, Recht, Kapital, Kommunikation und Alltag sie tragen können.</w:t>
      </w:r>
    </w:p>
    <w:p>
      <w:r>
        <w:t>Ohne Umsetzungsarchitektur entsteht eine Lücke zwischen Anspruch und Praxis. Genau diese Lücke hat viele Nachhaltigkeitsansätze geschwächt: Sie formulieren Ziele, aber sie zeigen nicht hinreichend, wie Ziele in Routinen, Ausschreibungen, Haushalte, Kreditprüfungen, Produktdaten und politische Entscheidungen übersetzt werden.</w:t>
      </w:r>
    </w:p>
    <w:p>
      <w:r>
        <w:t>Das Konzeptpapier macht deshalb einen methodischen Vorschlag: Transformation wird nicht als einmaliger Beschluss verstanden, sondern als wiederholbarer Zyklus aus Beobachtung, Hypothese, Pilotierung, Prüfung, Korrektur und Skalierung.</w:t>
      </w:r>
    </w:p>
    <w:p>
      <w:pPr>
        <w:pStyle w:val="Heading1"/>
      </w:pPr>
      <w:r>
        <w:t>Pilotfelder mit hoher Verständlichkeit</w:t>
      </w:r>
    </w:p>
    <w:p>
      <w:r>
        <w:t>Frühe Pilotfelder müssen so gewählt werden, dass Wirkung im Alltag verständlich wird. Ein regionaler Apfel, Schulessen, Gebäudestrom, kommunale Wärmeplanung, Sanierung, Beschaffung von Bauprodukten oder ein Sozialraumprofil sind besser geeignet als abstrakte Makrosteuerung. Menschen müssen sehen können, was sich verändert.</w:t>
      </w:r>
    </w:p>
    <w:p>
      <w:r>
        <w:t>Gleichzeitig dürfen Pilotfelder nicht trivial sein. Sie müssen echte Zielkonflikte enthalten: Preis, Qualität, Verfügbarkeit, Daten, Lieferkette, soziale Wirkung, ökologische Wirkung und Verwaltungsaufwand. Nur dann zeigen sie, ob die Methode trägt.</w:t>
      </w:r>
    </w:p>
    <w:p>
      <w:r>
        <w:t>Die Auswahl von Pilotfeldern sollte transparent erfolgen. Kriterien sind Datenverfügbarkeit, politische Anschlussfähigkeit, Betroffenheit, Skalierbarkeit, Risiko, Lernwert und Schutzbedarf.</w:t>
      </w:r>
    </w:p>
    <w:p>
      <w:pPr>
        <w:pStyle w:val="Heading1"/>
      </w:pPr>
      <w:r>
        <w:t>Mikro-Lenkung vor Makro-Lenkung</w:t>
      </w:r>
    </w:p>
    <w:p>
      <w:r>
        <w:t>Die Wirkungsökonomie sollte zuerst dort wirken, wo Entscheidungen begrenzt und reversibel sind: Beschaffung, Förderprogramme, kommunale Piloten, freiwillige Scorecards, Unternehmensprozesse und Fonds. Erst wenn Methodik, Datenqualität und Schutzmechanismen stabil sind, wird die Logik in breitere Steuer- und Preisarchitekturen übertragen.</w:t>
      </w:r>
    </w:p>
    <w:p>
      <w:r>
        <w:t>Mikro-Lenkung ist kein kleiner Ersatz für die eigentliche Transformation. Sie ist der Raum, in dem Vertrauen entsteht. Wer erlebt, dass ein Beschaffungspilot Wirkung sichtbar macht und Bürokratie reduziert, akzeptiert eher spätere Skalierung.</w:t>
      </w:r>
    </w:p>
    <w:p>
      <w:r>
        <w:t>Makro-Lenkung ohne Mikro-Erfahrung wäre politisch riskant. Mikro-Lenkung ohne Skalierung wäre wirkungslos. Rang 20 verbindet beides durch klare Schwellen und Lernstufen.</w:t>
      </w:r>
    </w:p>
    <w:p>
      <w:pPr>
        <w:pStyle w:val="Heading1"/>
      </w:pPr>
      <w:r>
        <w:t>Soziale Legitimität</w:t>
      </w:r>
    </w:p>
    <w:p>
      <w:r>
        <w:t>Transformation wird nur dann demokratisch stabil, wenn sie soziale Wirkungen ernst nimmt. Eine Steuerlogik, die schädliche Wirkung verteuert, muss gleichzeitig sicherstellen, dass Grundbedarfe nicht unbezahlbar werden. Lenkung und Schutz gehören zusammen.</w:t>
      </w:r>
    </w:p>
    <w:p>
      <w:r>
        <w:t>Soziale Legitimität entsteht durch nachvollziehbare Entlastung positiver Alternativen, gezielte Rückerstattung, kommunale Grundversorgung, Härtefallregelungen, Übergangsfristen und klare Kommunikation. Menschen müssen verstehen, warum sich Preise ändern und welche Unterstützung verfügbar ist.</w:t>
      </w:r>
    </w:p>
    <w:p>
      <w:r>
        <w:t>Die Wirkungsökonomie darf nicht als Projekt derjenigen erscheinen, die sich positive Wirkung ohnehin leisten können. Sie muss gerade dort wirken, wo heute Menschen durch schlechte Preise, schlechte Infrastruktur und schlechte Informationen benachteiligt sind.</w:t>
      </w:r>
    </w:p>
    <w:p>
      <w:pPr>
        <w:pStyle w:val="Heading1"/>
      </w:pPr>
      <w:r>
        <w:t>Demokratische Kontrolle und Fehlbarkeit</w:t>
      </w:r>
    </w:p>
    <w:p>
      <w:r>
        <w:t>Ein zentrales Qualitätsmerkmal der Wirkungsökonomie ist ihre Fehlbarkeit. Sie behauptet nicht, jede Wirkung vollständig zu kennen. Sie verlangt aber, dass Unsicherheit offen markiert, überprüft und korrigiert wird.</w:t>
      </w:r>
    </w:p>
    <w:p>
      <w:r>
        <w:t>Demokratische Kontrolle braucht öffentliche Methoden, offene Konsultationen, unabhängige Prüfung, Rechtsschutz, parlamentarische Verantwortung, kommunale Beteiligung und wissenschaftliche Begleitung. Wirkungsmessung darf nicht in einer privaten Blackbox verschwinden.</w:t>
      </w:r>
    </w:p>
    <w:p>
      <w:r>
        <w:t>Fehler sind nicht das Ende des Modells. Sie sind das Material einer lernenden Ordnung, sofern sie öffentlich sichtbar werden und in Korrektur münden.</w:t>
      </w:r>
    </w:p>
    <w:p>
      <w:pPr>
        <w:pStyle w:val="Heading1"/>
      </w:pPr>
      <w:r>
        <w:t>Datenquellen und Nachweisführung</w:t>
      </w:r>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r>
        <w:t>Für die Website-Fassung bedeutet das: Jede Onlinefassung braucht einen Datenblock. Dort werden mögliche Datenquellen, Messgrenzen, Unsicherheiten und Anschlussstellen transparent benannt. So bleibt das Portal fachlich nutzbar und politisch anschlussfähig.</w:t>
      </w:r>
    </w:p>
    <w:p>
      <w:pPr>
        <w:pStyle w:val="Heading1"/>
      </w:pPr>
      <w:r>
        <w:t>Berechnungslogik und Bewertungsmodell</w:t>
      </w:r>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Pr>
        <w:pStyle w:val="Heading1"/>
      </w:pPr>
      <w:r>
        <w:t>Governance und institutionelle Verantwortung</w:t>
      </w:r>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Pr>
        <w:pStyle w:val="Heading1"/>
      </w:pPr>
      <w:r>
        <w:t>Umsetzungsbeispiel und Wirkpfad</w:t>
      </w:r>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r>
        <w:t>Der Wert eines Piloten liegt also nicht darin, dass er sofort perfekt funktioniert. Sein Wert liegt darin, dass er sichtbar macht, welche Annahmen tragen und welche nicht. Damit wird Politik nicht langsamer, sondern lernfähiger.</w:t>
      </w:r>
    </w:p>
    <w:p>
      <w:pPr>
        <w:pStyle w:val="Heading1"/>
      </w:pPr>
      <w:r>
        <w:t>Zielkonflikte und Schutzmechanismen</w:t>
      </w:r>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r>
        <w:t>Besonders wichtig ist der Schutz vor Technokratie. Daten dürfen demokratische Entscheidung nicht ersetzen. Sie müssen Folgen sichtbar machen, Unsicherheit markieren und Korrektur ermöglichen. Politische Verantwortung bleibt politisch.</w:t>
      </w:r>
    </w:p>
    <w:p>
      <w:pPr>
        <w:pStyle w:val="Heading1"/>
      </w:pPr>
      <w:r>
        <w:t>Anschluss an Website, Akademie und Downloads</w:t>
      </w:r>
    </w:p>
    <w:p>
      <w:r>
        <w:t>Jedes Detailkonzept muss online vollständig lesbar sein. Ein PDF allein reicht nicht. Die Website braucht eine klare Navigation, ein mobil funktionierendes Inhaltsverzeichnis, Downloadbuttons für PDF und DOCX, eine Druckfunktion, Quellen, Glossarlinks und Querverlinkungen zu angrenzenden Portalen.</w:t>
      </w:r>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r>
        <w:t>Für CodeX und Website-Integration gilt: keine internen Anweisungen im öffentlichen Frontend, keine Platzhalter, keine toten Downloadlinks, keine Tabellen ohne mobile Darstellung und keine Detailkonzepte, die nur aus kurzen Überblickstexten bestehen.</w:t>
      </w:r>
    </w:p>
    <w:p>
      <w:pPr>
        <w:pStyle w:val="Heading1"/>
      </w:pPr>
      <w:r>
        <w:t>Wirkungslogik</w:t>
      </w:r>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Pr>
        <w:pStyle w:val="Heading1"/>
      </w:pPr>
      <w:r>
        <w:t>Warum Rang 20 notwendig ist</w:t>
      </w:r>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Pr>
        <w:pStyle w:val="Heading1"/>
      </w:pPr>
      <w:r>
        <w:t>Leitprinzipien der Implementierung</w:t>
      </w:r>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Pr>
        <w:pStyle w:val="Heading1"/>
      </w:pPr>
      <w:r>
        <w:t>Executive Summary</w:t>
      </w:r>
    </w:p>
    <w:p>
      <w:r>
        <w:t>Rang 20 beantwortet die operative Schlüsselfrage der Wirkungsökonomie: Wie beginnt ein Systemwechsel, der Preise, Steuern, Kapitalzugang, öffentliche Haushalte, Beschaffung, Unternehmen, Datenräume und politische Programme berührt, ohne einen Systembruch zu erzeugen? Die Antwort ist ein Transformationsdesign aus Pilotierung, Übergangsschutz, Datenstandards, Wirkungsrat, Evaluation, Beteiligung und stufenweiser Skalierung.</w:t>
      </w:r>
    </w:p>
    <w:p>
      <w:pPr>
        <w:pStyle w:val="Heading1"/>
      </w:pPr>
      <w:r>
        <w:t>Teil A - Vom Konzept zur Pilotierung</w:t>
      </w:r>
    </w:p>
    <w:p>
      <w:r>
        <w:t>Die Wirkungsökonomie beginnt in begrenzten Pilotfeldern. Diese Felder müssen verständlich, datenfähig, politisch anschlussfähig und sozial schützbar sein. Besonders geeignet sind Produkte des täglichen Lebens, kommunale Haushalte, öffentliche Beschaffung, Gebäude, Energie, Schulverpflegung, Pflegeprävention, Lieferantenbewertung und Unternehmensprozesse.</w:t>
      </w:r>
    </w:p>
    <w:p>
      <w:pPr>
        <w:pStyle w:val="Heading1"/>
      </w:pPr>
      <w:r>
        <w:t>Teil B - Reihenfolge der Einführung</w:t>
      </w:r>
    </w:p>
    <w:p>
      <w:r>
        <w:t>Die Reihenfolge beginnt mit Dateninventur, Standardisierung und freiwilligen Scorecards. Danach folgen öffentliche Beschaffung, Mikro-Lenkung, Kapital- und Versicherungsanschluss. Erst später kommen harte Makro-Lenkungen in Steuern, Kapitalaufsicht, Haushalten, Importlogik und europäischer Harmonisierung.</w:t>
      </w:r>
    </w:p>
    <w:p>
      <w:pPr>
        <w:pStyle w:val="Heading1"/>
      </w:pPr>
      <w:r>
        <w:t>Teil C - Lernschleifen und Versionierung</w:t>
      </w:r>
    </w:p>
    <w:p>
      <w:r>
        <w:t>Wirkungsökonomie bleibt legitim, wenn sie fehlbar sein darf und Korrektur eingebaut ist. Jede Scorecard braucht Version, Geltungsbereich, Datenqualität, Prüfstatus, Einspruchsweg, Evaluationsfrist und Abbruchregel. Ein falscher Indikator darf nicht politisch durchgedrückt werden, sondern muss korrigierbar sein.</w:t>
      </w:r>
    </w:p>
    <w:p>
      <w:pPr>
        <w:pStyle w:val="Heading1"/>
      </w:pPr>
      <w:r>
        <w:t>Teil D - Übergang ohne Systembruch</w:t>
      </w:r>
    </w:p>
    <w:p>
      <w:r>
        <w:t>Positive Wirkung darf nicht dauerhaft Luxus bleiben. Verbraucher:innen dürfen real nicht schlechter gestellt werden. Für Grundbedarfe braucht es Schutz: Preisbremsen, Rückerstattung, Wirkungsdividenden, gezielte Transfers oder kommunale Grundversorgung. KMU brauchen einfache Verfahren, Sammeltools, Datenadapter und Beratung.</w:t>
      </w:r>
    </w:p>
    <w:p>
      <w:pPr>
        <w:pStyle w:val="Heading1"/>
      </w:pPr>
      <w:r>
        <w:t>Teil E - Brückenfinanzierung und Wirkungs-Konversion</w:t>
      </w:r>
    </w:p>
    <w:p>
      <w:r>
        <w:t>Altkapital darf nicht abrupt in eine Systemkrise kippen. Aber es darf auch nicht dauerhaft geschützt werden. Vermögenswerte, Infrastrukturen, Produktlinien und Geschäftsmodelle brauchen glaubwürdige Transformationspfade von Verlustleistung in Wirkleistung. Wirkungsfonds, Garantien, Kreditlinien und Versicherungslösungen können diesen Übergang finanzieren.</w:t>
      </w:r>
    </w:p>
    <w:p>
      <w:pPr>
        <w:pStyle w:val="Heading1"/>
      </w:pPr>
      <w:r>
        <w:t>Teil F - Macht, Konflikt und Gegenmacht</w:t>
      </w:r>
    </w:p>
    <w:p>
      <w:r>
        <w:t>Wirkungsökonomie trifft auf Interessen. Deshalb braucht Umsetzung Transparenz, Rechtsschutz, Wirkungsrat, offene Daten, Wissenschaft, Zivilgesellschaft, öffentliche Beschaffung, Kapitalaufsicht und demokratische Beteiligung. Gegenmacht heißt nicht Blockade. Sie heißt Sicherung der Rückkopplung gegen private, staatliche oder algorithmische Vereinnahmung.</w:t>
      </w:r>
    </w:p>
    <w:p>
      <w:pPr>
        <w:pStyle w:val="Heading1"/>
      </w:pPr>
      <w:r>
        <w:t>Umsetzungsmatrix</w:t>
      </w:r>
    </w:p>
    <w:tbl>
      <w:tblPr>
        <w:tblStyle w:val="TableGrid"/>
        <w:tblW w:type="auto" w:w="0"/>
        <w:tblLook w:firstColumn="1" w:firstRow="1" w:lastColumn="0" w:lastRow="0" w:noHBand="0" w:noVBand="1" w:val="04A0"/>
      </w:tblPr>
      <w:tblGrid>
        <w:gridCol w:w="2040"/>
        <w:gridCol w:w="2040"/>
        <w:gridCol w:w="2040"/>
        <w:gridCol w:w="2040"/>
        <w:gridCol w:w="2040"/>
      </w:tblGrid>
      <w:tr>
        <w:tc>
          <w:tcPr>
            <w:tcW w:type="dxa" w:w="2040"/>
          </w:tcPr>
          <w:p>
            <w:r>
              <w:rPr>
                <w:b/>
              </w:rPr>
              <w:t>Phase</w:t>
            </w:r>
          </w:p>
        </w:tc>
        <w:tc>
          <w:tcPr>
            <w:tcW w:type="dxa" w:w="2040"/>
          </w:tcPr>
          <w:p>
            <w:r>
              <w:rPr>
                <w:b/>
              </w:rPr>
              <w:t>Ziel</w:t>
            </w:r>
          </w:p>
        </w:tc>
        <w:tc>
          <w:tcPr>
            <w:tcW w:type="dxa" w:w="2040"/>
          </w:tcPr>
          <w:p>
            <w:r>
              <w:rPr>
                <w:b/>
              </w:rPr>
              <w:t>Hauptinstrumente</w:t>
            </w:r>
          </w:p>
        </w:tc>
        <w:tc>
          <w:tcPr>
            <w:tcW w:type="dxa" w:w="2040"/>
          </w:tcPr>
          <w:p>
            <w:r>
              <w:rPr>
                <w:b/>
              </w:rPr>
              <w:t>Risiko</w:t>
            </w:r>
          </w:p>
        </w:tc>
        <w:tc>
          <w:tcPr>
            <w:tcW w:type="dxa" w:w="2040"/>
          </w:tcPr>
          <w:p>
            <w:r>
              <w:rPr>
                <w:b/>
              </w:rPr>
              <w:t>Schutzmechanismus</w:t>
            </w:r>
          </w:p>
        </w:tc>
      </w:tr>
      <w:tr>
        <w:tc>
          <w:tcPr>
            <w:tcW w:type="dxa" w:w="2040"/>
          </w:tcPr>
          <w:p>
            <w:r>
              <w:t>1 Daten klären</w:t>
            </w:r>
          </w:p>
        </w:tc>
        <w:tc>
          <w:tcPr>
            <w:tcW w:type="dxa" w:w="2040"/>
          </w:tcPr>
          <w:p>
            <w:r>
              <w:t>Begriffe, WÖk-IDs, Datenquellen</w:t>
            </w:r>
          </w:p>
        </w:tc>
        <w:tc>
          <w:tcPr>
            <w:tcW w:type="dxa" w:w="2040"/>
          </w:tcPr>
          <w:p>
            <w:r>
              <w:t>Register, Scorecards, Konsultation</w:t>
            </w:r>
          </w:p>
        </w:tc>
        <w:tc>
          <w:tcPr>
            <w:tcW w:type="dxa" w:w="2040"/>
          </w:tcPr>
          <w:p>
            <w:r>
              <w:t>Datenlücken</w:t>
            </w:r>
          </w:p>
        </w:tc>
        <w:tc>
          <w:tcPr>
            <w:tcW w:type="dxa" w:w="2040"/>
          </w:tcPr>
          <w:p>
            <w:r>
              <w:t>Datenqualitätsklassen</w:t>
            </w:r>
          </w:p>
        </w:tc>
      </w:tr>
      <w:tr>
        <w:tc>
          <w:tcPr>
            <w:tcW w:type="dxa" w:w="2040"/>
          </w:tcPr>
          <w:p>
            <w:r>
              <w:t>2 Pilotieren</w:t>
            </w:r>
          </w:p>
        </w:tc>
        <w:tc>
          <w:tcPr>
            <w:tcW w:type="dxa" w:w="2040"/>
          </w:tcPr>
          <w:p>
            <w:r>
              <w:t>Lernen in begrenzten Räumen</w:t>
            </w:r>
          </w:p>
        </w:tc>
        <w:tc>
          <w:tcPr>
            <w:tcW w:type="dxa" w:w="2040"/>
          </w:tcPr>
          <w:p>
            <w:r>
              <w:t>Kommunen, Produkte, Beschaffung</w:t>
            </w:r>
          </w:p>
        </w:tc>
        <w:tc>
          <w:tcPr>
            <w:tcW w:type="dxa" w:w="2040"/>
          </w:tcPr>
          <w:p>
            <w:r>
              <w:t>Überforderung</w:t>
            </w:r>
          </w:p>
        </w:tc>
        <w:tc>
          <w:tcPr>
            <w:tcW w:type="dxa" w:w="2040"/>
          </w:tcPr>
          <w:p>
            <w:r>
              <w:t>freiwillige Teilnahme, Beratung</w:t>
            </w:r>
          </w:p>
        </w:tc>
      </w:tr>
      <w:tr>
        <w:tc>
          <w:tcPr>
            <w:tcW w:type="dxa" w:w="2040"/>
          </w:tcPr>
          <w:p>
            <w:r>
              <w:t>3 Anschließen</w:t>
            </w:r>
          </w:p>
        </w:tc>
        <w:tc>
          <w:tcPr>
            <w:tcW w:type="dxa" w:w="2040"/>
          </w:tcPr>
          <w:p>
            <w:r>
              <w:t>Kapital, Versicherungen, Haushalt</w:t>
            </w:r>
          </w:p>
        </w:tc>
        <w:tc>
          <w:tcPr>
            <w:tcW w:type="dxa" w:w="2040"/>
          </w:tcPr>
          <w:p>
            <w:r>
              <w:t>Wirkungsfonds, Risikomodelle</w:t>
            </w:r>
          </w:p>
        </w:tc>
        <w:tc>
          <w:tcPr>
            <w:tcW w:type="dxa" w:w="2040"/>
          </w:tcPr>
          <w:p>
            <w:r>
              <w:t>Elitenzugang</w:t>
            </w:r>
          </w:p>
        </w:tc>
        <w:tc>
          <w:tcPr>
            <w:tcW w:type="dxa" w:w="2040"/>
          </w:tcPr>
          <w:p>
            <w:r>
              <w:t>öffentliche Kriterien</w:t>
            </w:r>
          </w:p>
        </w:tc>
      </w:tr>
      <w:tr>
        <w:tc>
          <w:tcPr>
            <w:tcW w:type="dxa" w:w="2040"/>
          </w:tcPr>
          <w:p>
            <w:r>
              <w:t>4 Skalieren</w:t>
            </w:r>
          </w:p>
        </w:tc>
        <w:tc>
          <w:tcPr>
            <w:tcW w:type="dxa" w:w="2040"/>
          </w:tcPr>
          <w:p>
            <w:r>
              <w:t>Lenkung in Preisen und Steuern</w:t>
            </w:r>
          </w:p>
        </w:tc>
        <w:tc>
          <w:tcPr>
            <w:tcW w:type="dxa" w:w="2040"/>
          </w:tcPr>
          <w:p>
            <w:r>
              <w:t>WUStG, WStG, Wirkungshaushalte</w:t>
            </w:r>
          </w:p>
        </w:tc>
        <w:tc>
          <w:tcPr>
            <w:tcW w:type="dxa" w:w="2040"/>
          </w:tcPr>
          <w:p>
            <w:r>
              <w:t>Preisbelastung</w:t>
            </w:r>
          </w:p>
        </w:tc>
        <w:tc>
          <w:tcPr>
            <w:tcW w:type="dxa" w:w="2040"/>
          </w:tcPr>
          <w:p>
            <w:r>
              <w:t>Grundbedarfsschutz</w:t>
            </w:r>
          </w:p>
        </w:tc>
      </w:tr>
      <w:tr>
        <w:tc>
          <w:tcPr>
            <w:tcW w:type="dxa" w:w="2040"/>
          </w:tcPr>
          <w:p>
            <w:r>
              <w:t>5 Harmonisieren</w:t>
            </w:r>
          </w:p>
        </w:tc>
        <w:tc>
          <w:tcPr>
            <w:tcW w:type="dxa" w:w="2040"/>
          </w:tcPr>
          <w:p>
            <w:r>
              <w:t>EU und globale Anschlussfähigkeit</w:t>
            </w:r>
          </w:p>
        </w:tc>
        <w:tc>
          <w:tcPr>
            <w:tcW w:type="dxa" w:w="2040"/>
          </w:tcPr>
          <w:p>
            <w:r>
              <w:t>Standards, DPP, Datenräume</w:t>
            </w:r>
          </w:p>
        </w:tc>
        <w:tc>
          <w:tcPr>
            <w:tcW w:type="dxa" w:w="2040"/>
          </w:tcPr>
          <w:p>
            <w:r>
              <w:t>Umgehung</w:t>
            </w:r>
          </w:p>
        </w:tc>
        <w:tc>
          <w:tcPr>
            <w:tcW w:type="dxa" w:w="2040"/>
          </w:tcPr>
          <w:p>
            <w:r>
              <w:t>Audit, CBAM-ähnliche Logik</w:t>
            </w:r>
          </w:p>
        </w:tc>
      </w:tr>
    </w:tbl>
    <w:p>
      <w:pPr>
        <w:pStyle w:val="Heading1"/>
      </w:pPr>
      <w:r>
        <w:t>Website- und Downloadanforderung</w:t>
      </w:r>
    </w:p>
    <w:p>
      <w:r>
        <w:t>Rang 20 braucht vollständige Onlinefassungen und Downloads. Das Portal muss die Umsetzung nicht nur beschreiben, sondern als Arbeitsbibliothek nutzbar machen: Konzeptpapier, Gesamtdossier, Detailkonzepte, Toolkarten, CodeX-Anweisung, SDG-/SDG+-Block, politische Anschlussfähigkeit, Quellen und Glossarlinks.</w:t>
      </w:r>
    </w:p>
    <w:p>
      <w:pPr>
        <w:pStyle w:val="Heading1"/>
      </w:pPr>
      <w:r>
        <w:t>SDG- und SDG+-Bezug</w:t>
      </w:r>
    </w:p>
    <w:p>
      <w:pPr>
        <w:pStyle w:val="ListBullet"/>
      </w:pPr>
      <w:r>
        <w:t>SDG 4 - Hochwertige Bildung: Umsetzung braucht Wirkungskompetenz, Verwaltungslernen, Datenkompetenz und Bürger:innenbildung.</w:t>
      </w:r>
    </w:p>
    <w:p>
      <w:pPr>
        <w:pStyle w:val="ListBullet"/>
      </w:pPr>
      <w:r>
        <w:t>SDG 8 - Menschenwürdige Arbeit und wirtschaftliche Entwicklung: Transformationspfade müssen Arbeit, Qualifizierung, faire Übergänge und Unternehmensfähigkeit sichern.</w:t>
      </w:r>
    </w:p>
    <w:p>
      <w:pPr>
        <w:pStyle w:val="ListBullet"/>
      </w:pPr>
      <w:r>
        <w:t>SDG 9 - Industrie, Innovation und Infrastruktur: Pilotierung, Reallabore, Datenräume, DPP, Beschaffung und Innovationspfade sind Infrastrukturfragen.</w:t>
      </w:r>
    </w:p>
    <w:p>
      <w:pPr>
        <w:pStyle w:val="ListBullet"/>
      </w:pPr>
      <w:r>
        <w:t>SDG 10 - Weniger Ungleichheiten: Übergänge müssen verhindern, dass positive Wirkung nur zahlungskräftigen Gruppen zugänglich bleibt.</w:t>
      </w:r>
    </w:p>
    <w:p>
      <w:pPr>
        <w:pStyle w:val="ListBullet"/>
      </w:pPr>
      <w:r>
        <w:t>SDG 11 - Nachhaltige Städte und Gemeinden: Kommunen sind zentrale Piloträume für Wirkungshaushalte, Beschaffung, Sozialraumprofile und Bürgerbeteiligung.</w:t>
      </w:r>
    </w:p>
    <w:p>
      <w:pPr>
        <w:pStyle w:val="ListBullet"/>
      </w:pPr>
      <w:r>
        <w:t>SDG 12 - Nachhaltiger Konsum und Produktion: Produktpässe, Beschaffung, Lieferketten und Wirkungspreise übersetzen Produktionswirkungen in Entscheidungen.</w:t>
      </w:r>
    </w:p>
    <w:p>
      <w:pPr>
        <w:pStyle w:val="ListBullet"/>
      </w:pPr>
      <w:r>
        <w:t>SDG 13 - Klimaschutz: Transformation muss Emissionspfade, Anpassung, Resilienz und soziale Abfederung verbinden.</w:t>
      </w:r>
    </w:p>
    <w:p>
      <w:pPr>
        <w:pStyle w:val="ListBullet"/>
      </w:pPr>
      <w:r>
        <w:t>SDG 16 - Frieden, Gerechtigkeit und starke Institutionen: Rechtsschutz, Transparenz, Evaluation und demokratische Kontrolle sichern Legitimität.</w:t>
      </w:r>
    </w:p>
    <w:p>
      <w:pPr>
        <w:pStyle w:val="ListBullet"/>
      </w:pPr>
      <w:r>
        <w:t>SDG 17 - Partnerschaften: Wirkungsökonomie wird nur durch Kooperation zwischen Staat, Wirtschaft, Wissenschaft, Kommunen und Zivilgesellschaft umsetzbar.</w:t>
      </w:r>
    </w:p>
    <w:p>
      <w:pPr>
        <w:pStyle w:val="ListBullet"/>
      </w:pPr>
      <w:r>
        <w:t>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Gesamtdossier Rang 20 -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