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Pilotkommunen und kommunale Wirkungshaushalte</w:t>
      </w:r>
    </w:p>
    <w:p>
      <w:pPr>
        <w:pStyle w:val="Subtitle"/>
      </w:pPr>
      <w:r>
        <w:t>Kommunen als erste reale Wirkungsräume für Haushalt, Beschaffung, Sozialraum und Beteiligung</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Wirkungsraum Kommune</w:t>
      </w:r>
    </w:p>
    <w:p>
      <w:pPr>
        <w:pStyle w:val="ListBullet"/>
      </w:pPr>
      <w:r>
        <w:t>14. Datenlogik</w:t>
      </w:r>
    </w:p>
    <w:p>
      <w:pPr>
        <w:pStyle w:val="ListBullet"/>
      </w:pPr>
      <w:r>
        <w:t>15. Wirkungshaushalt</w:t>
      </w:r>
    </w:p>
    <w:p>
      <w:pPr>
        <w:pStyle w:val="ListBullet"/>
      </w:pPr>
      <w:r>
        <w:t>16. Bürger:innenbeteiligung</w:t>
      </w:r>
    </w:p>
    <w:p>
      <w:pPr>
        <w:pStyle w:val="ListBullet"/>
      </w:pPr>
      <w:r>
        <w:t>17. Beispiel</w:t>
      </w:r>
    </w:p>
    <w:p>
      <w:pPr>
        <w:pStyle w:val="ListBullet"/>
      </w:pPr>
      <w:r>
        <w:t>18. Skalierung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Pilotkommunen und kommunale Wirkungshaushalte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Kommunen sind dort, wo Wirkung sichtbar wird: Wohnen, Mobilität, Hitze, Wasser, Bildung, Pflege, Kultur, Sicherheit, Energie und Beteiligung. Gleichzeitig sind Kommunen oft finanziell und personell überlastet.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Wirkungsraum Kommune</w:t>
      </w:r>
    </w:p>
    <w:p>
      <w:r>
        <w:t>Eine Pilotkommune muss nicht das ganze Modell einführen. Sie kann mit Wirkungshaushalt, Beschaffungsscore, Sozialraumprofil, Klimaanpassung, Schulverpflegung oder Gesundheitsprävention beginnen.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Datenlogik</w:t>
      </w:r>
    </w:p>
    <w:p>
      <w:r>
        <w:t>Kommunale Pilotierung nutzt vorhandene Daten: Haushaltsdaten, Sozialmonitoring, Energieverbrauch, Gebäudedaten, Klimarisiken, Bildungsdaten, Pflegebedarf, Beschaffung, Beteiligung und öffentliche Statistik.</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Wirkungshaushalt</w:t>
      </w:r>
    </w:p>
    <w:p>
      <w:r>
        <w:t>Ein Wirkungshaushalt zeigt nicht nur Ausgaben, sondern erwartete und gemessene Zustandsveränderungen. Prävention, Resilienz und Langzeitfolgen werden sichtbar.</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Bürger:innenbeteiligung</w:t>
      </w:r>
    </w:p>
    <w:p>
      <w:r>
        <w:t>Beteiligung ist keine Dekoration. Bürger:innen können Belastungen, Alltagshürden, soziale Nebenwirkungen und Akzeptanzrisiken sichtbar machen, die reine Datenmodelle übersehen.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Eine Kommune prüft ein Hitzeschutzprogramm: Baumpflanzung, Verschattung, Trinkwasserpunkte, Senior:innenbesuche, Schulhofentsiegelung und digitale Warnung werden nicht einzeln, sondern als Netto-Wirkung auf Gesundheit, Klima, Kosten und Teilhabe bewertet.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Skalierung</w:t>
      </w:r>
    </w:p>
    <w:p>
      <w:r>
        <w:t>Pilotkommunen sollten in Netzwerken lernen. Erfolgreiche Module werden als Musterprozesse, Datenmodelle und Beschlussvorlagen veröffentlicht.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Pilotkommunen und kommunale Wirkungshaushalte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