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Reallabore und regulatorische Sandboxes</w:t>
      </w:r>
    </w:p>
    <w:p>
      <w:pPr>
        <w:pStyle w:val="Subtitle"/>
      </w:pPr>
      <w:r>
        <w:t>Geschützte Experimentierräume für Regeln, Daten, Wirkung und Rechtsschutz</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Reallaborlogik</w:t>
      </w:r>
    </w:p>
    <w:p>
      <w:pPr>
        <w:pStyle w:val="ListBullet"/>
      </w:pPr>
      <w:r>
        <w:t>14. Regulatorische Sandboxes</w:t>
      </w:r>
    </w:p>
    <w:p>
      <w:pPr>
        <w:pStyle w:val="ListBullet"/>
      </w:pPr>
      <w:r>
        <w:t>15. Anwendung in der WÖk</w:t>
      </w:r>
    </w:p>
    <w:p>
      <w:pPr>
        <w:pStyle w:val="ListBullet"/>
      </w:pPr>
      <w:r>
        <w:t>16. Rechtsschutz</w:t>
      </w:r>
    </w:p>
    <w:p>
      <w:pPr>
        <w:pStyle w:val="ListBullet"/>
      </w:pPr>
      <w:r>
        <w:t>17. Beispiel</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Reallabore und regulatorische Sandboxes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Neue Steuerungslogiken müssen in realen Bedingungen getestet werden. Klassische Modellannahmen reichen nicht aus, weil Wirkungen, Nebenwirkungen und Akzeptanz erst in der Anwendung sichtbar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Reallaborlogik</w:t>
      </w:r>
    </w:p>
    <w:p>
      <w:r>
        <w:t>Ein Reallabor begrenzt Ort, Zeit, Teilnehmerkreis, Regelabweichung, Datenpflichten, Schutzmechanismen und Evaluation. Es schafft Lernen, ohne das ganze System zu riskieren.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Regulatorische Sandboxes</w:t>
      </w:r>
    </w:p>
    <w:p>
      <w:r>
        <w:t>Regulatorische Sandboxes ermöglichen Experimente innerhalb definierter rechtlicher Grenzen. Sie helfen, Innovationschancen, Risiken, Verwaltungsaufwand und notwendige Rechtsanpassungen zu erkennen.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Anwendung in der WÖk</w:t>
      </w:r>
    </w:p>
    <w:p>
      <w:r>
        <w:t>Geeignete Sandboxes sind Wirkungssteuer für Produktgruppen, kommunale Wirkungshaushalte, DPP-Datenräume, wirkungsorientierte Beschaffung, Versicherungsprämien nach Resilienz oder Wirkungsfonds.</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Rechtsschutz</w:t>
      </w:r>
    </w:p>
    <w:p>
      <w:r>
        <w:t>Jede Sandbox braucht klare Teilnahmebedingungen, Datenschutz, Einspruchswege, unabhängige Evaluation, Schutz vulnerabler Gruppen und Transparenz über Regelabweichungen.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Eine Stadt testet in einem begrenzten Zeitraum eine wirkungsorientierte Beschaffung für Bauprodukte. Dabei werden CO2, Gesundheit, Recycling, Kosten, Lieferfähigkeit und Rechtssicherheit gemessen.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Sandboxes dürfen kein Dauerprivileg sein. Am Ende steht Entscheidung: beenden, korrigieren, erweitern oder in allgemeine Regeln überführen.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Reallabore und regulatorische Sandboxes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