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0B3D3A"/>
          <w:sz w:val="40"/>
        </w:rPr>
        <w:t>Detailkonzept Soziale Abfederung und Kaufkraftschutz</w:t>
      </w:r>
    </w:p>
    <w:p>
      <w:pPr>
        <w:pStyle w:val="Subtitle"/>
      </w:pPr>
      <w:r>
        <w:t>Wie Wirkungspreise gerecht eingeführt werden, ohne Grundbedarfe zu verteuern</w:t>
      </w:r>
    </w:p>
    <w:p>
      <w:pPr/>
      <w:r>
        <w:rPr>
          <w:sz w:val="16"/>
        </w:rPr>
        <w:t>Dokumenttyp: Detailkonzept</w:t>
      </w:r>
    </w:p>
    <w:p>
      <w:pPr/>
      <w:r>
        <w:rPr>
          <w:sz w:val="16"/>
        </w:rPr>
        <w:t>Autorin: Natalie Weber</w:t>
      </w:r>
    </w:p>
    <w:p>
      <w:pPr/>
      <w:r>
        <w:rPr>
          <w:sz w:val="16"/>
        </w:rPr>
        <w:t>Referenz: Wirkungsökonomie</w:t>
      </w:r>
    </w:p>
    <w:p>
      <w:pPr/>
      <w:r>
        <w:rPr>
          <w:sz w:val="16"/>
        </w:rPr>
        <w:t>Version: 1.0</w:t>
      </w:r>
    </w:p>
    <w:p>
      <w:pPr/>
      <w:r>
        <w:rPr>
          <w:sz w:val="16"/>
        </w:rPr>
        <w:t>Stand: Mai 2026</w:t>
      </w:r>
    </w:p>
    <w:p>
      <w:pPr/>
      <w:r>
        <w:rPr>
          <w:sz w:val="16"/>
        </w:rPr>
        <w:t>Status: Langfassungsentwurf für Website, Akademie, Dossier und Download</w:t>
      </w:r>
    </w:p>
    <w:p>
      <w:pPr/>
      <w:r>
        <w:rPr>
          <w:sz w:val="16"/>
        </w:rPr>
        <w:t>Hinweis: Dieses Dokument ist für öffentliche Onlinefassungen und Downloads bestimmt. Es enthält keine internen Arbeitsanweisungen.</w:t>
      </w:r>
    </w:p>
    <w:p>
      <w:pPr>
        <w:pStyle w:val="Heading1"/>
      </w:pPr>
      <w:r>
        <w:t>Inhaltsverzeichnis</w:t>
      </w:r>
    </w:p>
    <w:p>
      <w:pPr>
        <w:pStyle w:val="ListBullet"/>
      </w:pPr>
      <w:r>
        <w:t>1. Dokumentinformationen</w:t>
      </w:r>
    </w:p>
    <w:p>
      <w:pPr>
        <w:pStyle w:val="ListBullet"/>
      </w:pPr>
      <w:r>
        <w:t>2. Kurzfassung</w:t>
      </w:r>
    </w:p>
    <w:p>
      <w:pPr>
        <w:pStyle w:val="ListBullet"/>
      </w:pPr>
      <w:r>
        <w:t>3. Datenquellen und Nachweisführung</w:t>
      </w:r>
    </w:p>
    <w:p>
      <w:pPr>
        <w:pStyle w:val="ListBullet"/>
      </w:pPr>
      <w:r>
        <w:t>4. Berechnungslogik und Bewertungsmodell</w:t>
      </w:r>
    </w:p>
    <w:p>
      <w:pPr>
        <w:pStyle w:val="ListBullet"/>
      </w:pPr>
      <w:r>
        <w:t>5. Governance und institutionelle Verantwortung</w:t>
      </w:r>
    </w:p>
    <w:p>
      <w:pPr>
        <w:pStyle w:val="ListBullet"/>
      </w:pPr>
      <w:r>
        <w:t>6. Umsetzungsbeispiel und Wirkpfad</w:t>
      </w:r>
    </w:p>
    <w:p>
      <w:pPr>
        <w:pStyle w:val="ListBullet"/>
      </w:pPr>
      <w:r>
        <w:t>7. Zielkonflikte und Schutzmechanismen</w:t>
      </w:r>
    </w:p>
    <w:p>
      <w:pPr>
        <w:pStyle w:val="ListBullet"/>
      </w:pPr>
      <w:r>
        <w:t>8. Anschluss an Website, Akademie und Downloads</w:t>
      </w:r>
    </w:p>
    <w:p>
      <w:pPr>
        <w:pStyle w:val="ListBullet"/>
      </w:pPr>
      <w:r>
        <w:t>9. Wirkungslogik</w:t>
      </w:r>
    </w:p>
    <w:p>
      <w:pPr>
        <w:pStyle w:val="ListBullet"/>
      </w:pPr>
      <w:r>
        <w:t>10. Warum Rang 20 notwendig ist</w:t>
      </w:r>
    </w:p>
    <w:p>
      <w:pPr>
        <w:pStyle w:val="ListBullet"/>
      </w:pPr>
      <w:r>
        <w:t>11. Leitprinzipien der Implementierung</w:t>
      </w:r>
    </w:p>
    <w:p>
      <w:pPr>
        <w:pStyle w:val="ListBullet"/>
      </w:pPr>
      <w:r>
        <w:t>12. Problemstellung</w:t>
      </w:r>
    </w:p>
    <w:p>
      <w:pPr>
        <w:pStyle w:val="ListBullet"/>
      </w:pPr>
      <w:r>
        <w:t>13. Grundsatz</w:t>
      </w:r>
    </w:p>
    <w:p>
      <w:pPr>
        <w:pStyle w:val="ListBullet"/>
      </w:pPr>
      <w:r>
        <w:t>14. Schutzinstrumente</w:t>
      </w:r>
    </w:p>
    <w:p>
      <w:pPr>
        <w:pStyle w:val="ListBullet"/>
      </w:pPr>
      <w:r>
        <w:t>15. Grundbedarfe</w:t>
      </w:r>
    </w:p>
    <w:p>
      <w:pPr>
        <w:pStyle w:val="ListBullet"/>
      </w:pPr>
      <w:r>
        <w:t>16. Beispiel</w:t>
      </w:r>
    </w:p>
    <w:p>
      <w:pPr>
        <w:pStyle w:val="ListBullet"/>
      </w:pPr>
      <w:r>
        <w:t>17. Messung</w:t>
      </w:r>
    </w:p>
    <w:p>
      <w:pPr>
        <w:pStyle w:val="ListBullet"/>
      </w:pPr>
      <w:r>
        <w:t>18. Politik</w:t>
      </w:r>
    </w:p>
    <w:p>
      <w:pPr>
        <w:pStyle w:val="ListBullet"/>
      </w:pPr>
      <w:r>
        <w:t>19. Umsetzungscheck</w:t>
      </w:r>
    </w:p>
    <w:p>
      <w:pPr>
        <w:pStyle w:val="ListBullet"/>
      </w:pPr>
      <w:r>
        <w:t>20. SDG- und SDG+-Bezug</w:t>
      </w:r>
    </w:p>
    <w:p>
      <w:pPr>
        <w:pStyle w:val="ListBullet"/>
      </w:pPr>
      <w:r>
        <w:t>21. Politische Anschlussfähigkeit und Umsetzungsoptionen</w:t>
      </w:r>
    </w:p>
    <w:p>
      <w:pPr>
        <w:pStyle w:val="ListBullet"/>
      </w:pPr>
      <w:r>
        <w:t>22. Quellenrahmen</w:t>
      </w:r>
    </w:p>
    <w:p>
      <w:pPr>
        <w:pStyle w:val="ListBullet"/>
      </w:pPr>
      <w:r>
        <w:t>23. Glossarlinks</w:t>
      </w:r>
    </w:p>
    <w:p>
      <w:pPr>
        <w:pStyle w:val="Heading1"/>
      </w:pPr>
      <w:r>
        <w:t>Dokumentinformationen</w:t>
      </w:r>
    </w:p>
    <w:p>
      <w:r>
        <w:t>Dokumenttyp: Detailkonzept</w:t>
      </w:r>
    </w:p>
    <w:p>
      <w:r>
        <w:t>Autorin: Natalie Weber</w:t>
      </w:r>
    </w:p>
    <w:p>
      <w:r>
        <w:t>Referenz: Wirkungsökonomie</w:t>
      </w:r>
    </w:p>
    <w:p>
      <w:r>
        <w:t>Version: 1.0</w:t>
      </w:r>
    </w:p>
    <w:p>
      <w:r>
        <w:t>Stand: Mai 2026</w:t>
      </w:r>
    </w:p>
    <w:p>
      <w:r>
        <w:t>Status: Langfassungsentwurf für Website, Akademie, Dossier und Download</w:t>
      </w:r>
    </w:p>
    <w:p>
      <w:r>
        <w:t>Hinweis: Dieses Dokument ist für öffentliche Onlinefassungen und Downloads bestimmt. Es enthält keine internen Arbeitsanweisungen.</w:t>
      </w:r>
    </w:p>
    <w:p>
      <w:pPr>
        <w:pStyle w:val="Heading1"/>
      </w:pPr>
      <w:r>
        <w:t>Kurzfassung</w:t>
      </w:r>
    </w:p>
    <w:p>
      <w:r>
        <w:t>Detailkonzept Soziale Abfederung und Kaufkraftschutz vertieft einen zentralen Umsetzungsbaustein von Rang 20 und ist als Langfassungsentwurf für Website, Download und politische Anschlussfähigkeit angelegt.</w:t>
      </w:r>
    </w:p>
    <w:p>
      <w:pPr>
        <w:pStyle w:val="Heading1"/>
      </w:pPr>
      <w:r>
        <w:t>Datenquellen und Nachweisführung</w:t>
      </w:r>
    </w:p>
    <w:p>
      <w:r>
        <w:t>Für jedes Umsetzungsinstrument müssen Datenquellen vor Beginn geklärt werden. Dazu gehören vorhandene Verwaltungsdaten, öffentliche Statistik, Unternehmensdaten, CSRD- und ESRS-Daten, Produktpässe, Beschaffungsdaten, Haushaltsdaten, Sozialraumdaten, Risikodaten aus Versicherungen und Kapitaldaten. Die Wirkungsökonomie darf keine neue Berichtslast erzeugen, wenn vorhandene Daten mit besseren Standards genutzt werden können.</w:t>
      </w:r>
    </w:p>
    <w:p>
      <w:r>
        <w:t>Die Nachweisführung unterscheidet zwischen gemessenen Daten, geprüften Daten, plausibilisierten Daten, Schätzungen und Datenlücken. Jede Datenquelle erhält einen Prüfstatus. Eine Wirkungsaussage ohne Datenqualitätsklasse ist nicht hinreichend belastbar. Das schützt vor Wirkungssimulation und vor dem Missbrauch einzelner Kennzahlen.</w:t>
      </w:r>
    </w:p>
    <w:p>
      <w:r>
        <w:t>Für die Website-Fassung bedeutet das: Jede Onlinefassung braucht einen Datenblock. Dort werden mögliche Datenquellen, Messgrenzen, Unsicherheiten und Anschlussstellen transparent benannt. So bleibt das Portal fachlich nutzbar und politisch anschlussfähig.</w:t>
      </w:r>
    </w:p>
    <w:p>
      <w:pPr>
        <w:pStyle w:val="Heading1"/>
      </w:pPr>
      <w:r>
        <w:t>Berechnungslogik und Bewertungsmodell</w:t>
      </w:r>
    </w:p>
    <w:p>
      <w:r>
        <w:t>Die Bewertungslogik für Rang 20 arbeitet nicht mit einer einfachen Summe guter Absichten. Ein Instrument gilt nur dann als umsetzungsreif, wenn mehrere Mindestbedingungen gleichzeitig erfüllt sind: Datenqualität, Rechtsklarheit, soziale Verträglichkeit, Verwaltungsfähigkeit, demokratische Kontrolle und Skalierbarkeit. Ein sehr guter Klimanutzen kann fehlenden Rechtsschutz nicht überdecken.</w:t>
      </w:r>
    </w:p>
    <w:p>
      <w:r>
        <w:t>Der zentrale Operator ist eine Engpasslogik. Wenn ein Umsetzungsfeld in einer kritischen Dimension unter Mindeststandard fällt, wird die Skalierung gebremst. Diese Logik ist wichtig, weil Umsetzungsfehler sonst als Kollateralschäden akzeptiert würden. Die Wirkungsökonomie muss zeigen, dass sie aus Fehlern lernt, bevor Fehler systemisch werden.</w:t>
      </w:r>
    </w:p>
    <w:p>
      <w:r>
        <w:t>Ein mögliches Raster lautet: Datenreife 0 bis 3, Rechtsklarheit 0 bis 3, Sozialschutz 0 bis 3, Verwaltungsfähigkeit 0 bis 3, Evaluationsfähigkeit 0 bis 3 und Skalierungsfähigkeit 0 bis 3. Der niedrigste Wert markiert den Engpass. Erst wenn alle Mindestwerte erreicht sind, darf ein Pilot in die nächste Stufe.</w:t>
      </w:r>
    </w:p>
    <w:p>
      <w:pPr>
        <w:pStyle w:val="Heading1"/>
      </w:pPr>
      <w:r>
        <w:t>Governance und institutionelle Verantwortung</w:t>
      </w:r>
    </w:p>
    <w:p>
      <w:r>
        <w:t>Umsetzung braucht eindeutige Rollen. Der Bund kann Rechtsrahmen, Register, Standards und Förderarchitektur schaffen. Länder verantworten Vollzug, Bildung, Verwaltung und Fachaufsicht. Kommunen übersetzen Wirkung in reale Räume. Unternehmen liefern Produkt- und Prozessdaten. Wissenschaft prüft Methoden. Zivilgesellschaft und Betroffene markieren blinde Flecken. Medien sichern öffentliche Verständlichkeit.</w:t>
      </w:r>
    </w:p>
    <w:p>
      <w:r>
        <w:t>Der Wirkungsrat ist dabei keine Regierung und kein Ersatzparlament. Seine Aufgabe ist methodische Sicherung: WÖk-IDs, Benchmarks, Scorecards, Versionierung, Datenqualität, Konsultation und Missbrauchsschutz. Politische Prioritäten bleiben demokratisch zu entscheiden.</w:t>
      </w:r>
    </w:p>
    <w:p>
      <w:r>
        <w:t>Governance bedeutet auch Interessenkonflikte sichtbar zu machen. Wer von alten Fehlanreizen profitiert, wird versuchen, Indikatoren zu verwässern oder Übergänge endlos zu verlängern. Wer schnelle Veränderung will, kann Schutzmechanismen unterschätzen. Rang 20 muss beide Risiken ausbalancieren.</w:t>
      </w:r>
    </w:p>
    <w:p>
      <w:pPr>
        <w:pStyle w:val="Heading1"/>
      </w:pPr>
      <w:r>
        <w:t>Umsetzungsbeispiel und Wirkpfad</w:t>
      </w:r>
    </w:p>
    <w:p>
      <w:r>
        <w:t>Ein typischer Wirkpfad beginnt mit einer Ausgangslage: ein Problem ist bekannt, aber die bisherige Steuerung reagiert nur mit Einzelmaßnahmen. Dann wird eine Hypothese formuliert: Wenn Wirkung sichtbar und in Entscheidungskriterien übersetzt wird, verändert sich Verhalten. Anschließend werden Daten, Grenzen, Zielgruppen und Schutzmechanismen definiert.</w:t>
      </w:r>
    </w:p>
    <w:p>
      <w:r>
        <w:t>In der Pilotphase wird die Maßnahme nicht nur auf Zielerreichung geprüft. Gemessen werden auch Nebenwirkungen: Bürokratieaufwand, Verteilungswirkung, Akzeptanz, rechtliche Streitfälle, Datenqualität, Manipulationsrisiken und Auswirkungen auf kleine Akteure. Erst danach kann entschieden werden, ob Skalierung, Korrektur oder Abbruch sinnvoll ist.</w:t>
      </w:r>
    </w:p>
    <w:p>
      <w:r>
        <w:t>Der Wert eines Piloten liegt also nicht darin, dass er sofort perfekt funktioniert. Sein Wert liegt darin, dass er sichtbar macht, welche Annahmen tragen und welche nicht. Damit wird Politik nicht langsamer, sondern lernfähiger.</w:t>
      </w:r>
    </w:p>
    <w:p>
      <w:pPr>
        <w:pStyle w:val="Heading1"/>
      </w:pPr>
      <w:r>
        <w:t>Zielkonflikte und Schutzmechanismen</w:t>
      </w:r>
    </w:p>
    <w:p>
      <w:r>
        <w:t>Jede Transformation erzeugt Zielkonflikte. Schnelle Lenkung kann soziale Härten erzeugen. Breite Beteiligung kann Prozesse verlangsamen. Hohe Datenanforderungen können Qualität sichern, aber kleine Akteure überfordern. Starke Standardisierung kann Vergleichbarkeit schaffen, aber lokale Besonderheiten verdrängen.</w:t>
      </w:r>
    </w:p>
    <w:p>
      <w:r>
        <w:t>Die Wirkungsökonomie löst diese Zielkonflikte nicht durch Behauptung auf. Sie macht sie sichtbar und legt Schutzmechanismen fest: Übergangsfristen, Schwellenwerte, einfache Verfahren, Härtefallfonds, Open-Source-Tools, Beratung, öffentliche Konsultation und unabhängige Prüfung.</w:t>
      </w:r>
    </w:p>
    <w:p>
      <w:r>
        <w:t>Besonders wichtig ist der Schutz vor Technokratie. Daten dürfen demokratische Entscheidung nicht ersetzen. Sie müssen Folgen sichtbar machen, Unsicherheit markieren und Korrektur ermöglichen. Politische Verantwortung bleibt politisch.</w:t>
      </w:r>
    </w:p>
    <w:p>
      <w:pPr>
        <w:pStyle w:val="Heading1"/>
      </w:pPr>
      <w:r>
        <w:t>Anschluss an Website, Akademie und Downloads</w:t>
      </w:r>
    </w:p>
    <w:p>
      <w:r>
        <w:t>Jedes Detailkonzept muss online vollständig lesbar sein. Ein PDF allein reicht nicht. Die Website braucht eine klare Navigation, ein mobil funktionierendes Inhaltsverzeichnis, Downloadbuttons für PDF und DOCX, eine Druckfunktion, Quellen, Glossarlinks und Querverlinkungen zu angrenzenden Portalen.</w:t>
      </w:r>
    </w:p>
    <w:p>
      <w:r>
        <w:t>Für die Akademie kann das Dokument in Lernmodule zerlegt werden: Einführung, Begriffe, Datenlogik, Umsetzungsbeispiel, Übung zur Pilotplanung, Reflexion zu Zielkonflikten und Checkliste für politische Anschlussfähigkeit. So wird Rang 20 nicht nur dokumentiert, sondern vermittelbar.</w:t>
      </w:r>
    </w:p>
    <w:p>
      <w:r>
        <w:t>Für CodeX und Website-Integration gilt: keine internen Anweisungen im öffentlichen Frontend, keine Platzhalter, keine toten Downloadlinks, keine Tabellen ohne mobile Darstellung und keine Detailkonzepte, die nur aus kurzen Überblickstexten bestehen.</w:t>
      </w:r>
    </w:p>
    <w:p>
      <w:pPr>
        <w:pStyle w:val="Heading1"/>
      </w:pPr>
      <w:r>
        <w:t>Wirkungslogik</w:t>
      </w:r>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Pr>
        <w:pStyle w:val="Heading1"/>
      </w:pPr>
      <w:r>
        <w:t>Warum Rang 20 notwendig ist</w:t>
      </w:r>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Pr>
        <w:pStyle w:val="Heading1"/>
      </w:pPr>
      <w:r>
        <w:t>Leitprinzipien der Implementierung</w:t>
      </w:r>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Pr>
        <w:pStyle w:val="Heading1"/>
      </w:pPr>
      <w:r>
        <w:t>Problemstellung</w:t>
      </w:r>
    </w:p>
    <w:p>
      <w:r>
        <w:t>Wenn negative Wirkung teurer und positive Wirkung günstiger wird, entstehen Übergangseffekte. Ohne Schutz können einkommensarme Haushalte, Mieter:innen, kleine Unternehmen und Kommunen belastet werden.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Grundsatz</w:t>
      </w:r>
    </w:p>
    <w:p>
      <w:r>
        <w:t>Bessere Wirkung darf nicht dauerhaft Luxus bleiben. Der Übergang muss so gestaltet werden, dass Menschen nicht für alte Fehlsteuerungen bestraft werden, bevor bezahlbare Alternativen verfügbar sind.</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Schutzinstrumente</w:t>
      </w:r>
    </w:p>
    <w:p>
      <w:r>
        <w:t>Mögliche Instrumente sind Wirkungsdividenden, Rückerstattung, Sozialtarife, Übergangsgutscheine, Warmmietenschutz, kommunale Grundversorgung, Staffelung, Härtefallfonds und gezielte Förderung positiver Alternativen.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Grundbedarfe</w:t>
      </w:r>
    </w:p>
    <w:p>
      <w:r>
        <w:t>Ernährung, Wohnen, Energie, Mobilität, Gesundheit und Bildung brauchen besondere Schutzlogik. Dort darf Lenkung nicht zu Ausschluss führen.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Beispiel</w:t>
      </w:r>
    </w:p>
    <w:p>
      <w:r>
        <w:t>Eine höhere Belastung fossiler Wärme wird mit Sanierungsförderung, Mieter:innenschutz, kommunaler Wärmeplanung und Rückerstattung verbunden. Der Preisimpuls bleibt, aber soziale Härten werden verhindert.</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Messung</w:t>
      </w:r>
    </w:p>
    <w:p>
      <w:r>
        <w:t>Kaufkraftschutz muss messbar sein: Haushaltsbelastung, Zugang zu Alternativen, regionale Unterschiede, Zeitverlauf, Zielgruppenwirkung und Verteilungswirkung.</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Politik</w:t>
      </w:r>
    </w:p>
    <w:p>
      <w:r>
        <w:t>Soziale Abfederung ist kein Anhängsel. Sie ist Bedingung politischer Legitimität und schützt die Wirkungsökonomie vor einem falschen Eliten- oder Verzichtsnarrativ.</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Umsetzungscheck</w:t>
      </w:r>
    </w:p>
    <w:tbl>
      <w:tblPr>
        <w:tblStyle w:val="TableGrid"/>
        <w:tblW w:type="auto" w:w="0"/>
        <w:tblLook w:firstColumn="1" w:firstRow="1" w:lastColumn="0" w:lastRow="0" w:noHBand="0" w:noVBand="1" w:val="04A0"/>
      </w:tblPr>
      <w:tblGrid>
        <w:gridCol w:w="5100"/>
        <w:gridCol w:w="5100"/>
      </w:tblGrid>
      <w:tr>
        <w:tc>
          <w:tcPr>
            <w:tcW w:type="dxa" w:w="5100"/>
          </w:tcPr>
          <w:p>
            <w:r>
              <w:rPr>
                <w:b/>
              </w:rPr>
              <w:t>Prüffrage</w:t>
            </w:r>
          </w:p>
        </w:tc>
        <w:tc>
          <w:tcPr>
            <w:tcW w:type="dxa" w:w="5100"/>
          </w:tcPr>
          <w:p>
            <w:r>
              <w:rPr>
                <w:b/>
              </w:rPr>
              <w:t>Anforderung</w:t>
            </w:r>
          </w:p>
        </w:tc>
      </w:tr>
      <w:tr>
        <w:tc>
          <w:tcPr>
            <w:tcW w:type="dxa" w:w="5100"/>
          </w:tcPr>
          <w:p>
            <w:r>
              <w:t>Daten</w:t>
            </w:r>
          </w:p>
        </w:tc>
        <w:tc>
          <w:tcPr>
            <w:tcW w:type="dxa" w:w="5100"/>
          </w:tcPr>
          <w:p>
            <w:r>
              <w:t>Welche bestehenden Daten können genutzt werden?</w:t>
            </w:r>
          </w:p>
        </w:tc>
      </w:tr>
      <w:tr>
        <w:tc>
          <w:tcPr>
            <w:tcW w:type="dxa" w:w="5100"/>
          </w:tcPr>
          <w:p>
            <w:r>
              <w:t>Recht</w:t>
            </w:r>
          </w:p>
        </w:tc>
        <w:tc>
          <w:tcPr>
            <w:tcW w:type="dxa" w:w="5100"/>
          </w:tcPr>
          <w:p>
            <w:r>
              <w:t>Welche Rechtsgrundlage und welcher Rechtsschutz sind nötig?</w:t>
            </w:r>
          </w:p>
        </w:tc>
      </w:tr>
      <w:tr>
        <w:tc>
          <w:tcPr>
            <w:tcW w:type="dxa" w:w="5100"/>
          </w:tcPr>
          <w:p>
            <w:r>
              <w:t>Soziales</w:t>
            </w:r>
          </w:p>
        </w:tc>
        <w:tc>
          <w:tcPr>
            <w:tcW w:type="dxa" w:w="5100"/>
          </w:tcPr>
          <w:p>
            <w:r>
              <w:t>Wer könnte belastet werden und wie wird geschützt?</w:t>
            </w:r>
          </w:p>
        </w:tc>
      </w:tr>
      <w:tr>
        <w:tc>
          <w:tcPr>
            <w:tcW w:type="dxa" w:w="5100"/>
          </w:tcPr>
          <w:p>
            <w:r>
              <w:t>Verwaltung</w:t>
            </w:r>
          </w:p>
        </w:tc>
        <w:tc>
          <w:tcPr>
            <w:tcW w:type="dxa" w:w="5100"/>
          </w:tcPr>
          <w:p>
            <w:r>
              <w:t>Wer führt aus und welche Vereinfachung ist nötig?</w:t>
            </w:r>
          </w:p>
        </w:tc>
      </w:tr>
      <w:tr>
        <w:tc>
          <w:tcPr>
            <w:tcW w:type="dxa" w:w="5100"/>
          </w:tcPr>
          <w:p>
            <w:r>
              <w:t>Evaluation</w:t>
            </w:r>
          </w:p>
        </w:tc>
        <w:tc>
          <w:tcPr>
            <w:tcW w:type="dxa" w:w="5100"/>
          </w:tcPr>
          <w:p>
            <w:r>
              <w:t>Wie wird gelernt, korrigiert und skaliert?</w:t>
            </w:r>
          </w:p>
        </w:tc>
      </w:tr>
    </w:tbl>
    <w:p>
      <w:pPr>
        <w:pStyle w:val="Heading1"/>
      </w:pPr>
      <w:r>
        <w:t>SDG- und SDG+-Bezug</w:t>
      </w:r>
    </w:p>
    <w:p>
      <w:pPr>
        <w:pStyle w:val="ListBullet"/>
      </w:pPr>
      <w:r>
        <w:t>SDG 4 - Hochwertige Bildung: Umsetzung braucht Wirkungskompetenz, Verwaltungslernen, Datenkompetenz und Bürger:innenbildung.</w:t>
      </w:r>
    </w:p>
    <w:p>
      <w:pPr>
        <w:pStyle w:val="ListBullet"/>
      </w:pPr>
      <w:r>
        <w:t>SDG 8 - Menschenwürdige Arbeit und wirtschaftliche Entwicklung: Transformationspfade müssen Arbeit, Qualifizierung, faire Übergänge und Unternehmensfähigkeit sichern.</w:t>
      </w:r>
    </w:p>
    <w:p>
      <w:pPr>
        <w:pStyle w:val="ListBullet"/>
      </w:pPr>
      <w:r>
        <w:t>SDG 9 - Industrie, Innovation und Infrastruktur: Pilotierung, Reallabore, Datenräume, DPP, Beschaffung und Innovationspfade sind Infrastrukturfragen.</w:t>
      </w:r>
    </w:p>
    <w:p>
      <w:pPr>
        <w:pStyle w:val="ListBullet"/>
      </w:pPr>
      <w:r>
        <w:t>SDG 10 - Weniger Ungleichheiten: Übergänge müssen verhindern, dass positive Wirkung nur zahlungskräftigen Gruppen zugänglich bleibt.</w:t>
      </w:r>
    </w:p>
    <w:p>
      <w:pPr>
        <w:pStyle w:val="ListBullet"/>
      </w:pPr>
      <w:r>
        <w:t>SDG 11 - Nachhaltige Städte und Gemeinden: Kommunen sind zentrale Piloträume für Wirkungshaushalte, Beschaffung, Sozialraumprofile und Bürgerbeteiligung.</w:t>
      </w:r>
    </w:p>
    <w:p>
      <w:pPr>
        <w:pStyle w:val="ListBullet"/>
      </w:pPr>
      <w:r>
        <w:t>SDG 12 - Nachhaltiger Konsum und Produktion: Produktpässe, Beschaffung, Lieferketten und Wirkungspreise übersetzen Produktionswirkungen in Entscheidungen.</w:t>
      </w:r>
    </w:p>
    <w:p>
      <w:pPr>
        <w:pStyle w:val="ListBullet"/>
      </w:pPr>
      <w:r>
        <w:t>SDG 13 - Klimaschutz: Transformation muss Emissionspfade, Anpassung, Resilienz und soziale Abfederung verbinden.</w:t>
      </w:r>
    </w:p>
    <w:p>
      <w:pPr>
        <w:pStyle w:val="ListBullet"/>
      </w:pPr>
      <w:r>
        <w:t>SDG 16 - Frieden, Gerechtigkeit und starke Institutionen: Rechtsschutz, Transparenz, Evaluation und demokratische Kontrolle sichern Legitimität.</w:t>
      </w:r>
    </w:p>
    <w:p>
      <w:pPr>
        <w:pStyle w:val="ListBullet"/>
      </w:pPr>
      <w:r>
        <w:t>SDG 17 - Partnerschaften: Wirkungsökonomie wird nur durch Kooperation zwischen Staat, Wirtschaft, Wissenschaft, Kommunen und Zivilgesellschaft umsetzbar.</w:t>
      </w:r>
    </w:p>
    <w:p>
      <w:pPr>
        <w:pStyle w:val="ListBullet"/>
      </w:pPr>
      <w:r>
        <w:t>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Pr>
        <w:pStyle w:val="Heading1"/>
      </w:pPr>
      <w:r>
        <w:t>Politische Anschlussfähigkeit und Umsetzungsoptionen</w:t>
      </w:r>
    </w:p>
    <w:p>
      <w:pPr>
        <w:pStyle w:val="ListBullet"/>
      </w:pPr>
      <w:r>
        <w:t>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Pr>
        <w:pStyle w:val="ListBullet"/>
      </w:pPr>
      <w:r>
        <w:t>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Pr>
        <w:pStyle w:val="ListBullet"/>
      </w:pPr>
      <w:r>
        <w:t>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Pr>
        <w:pStyle w:val="ListBullet"/>
      </w:pPr>
      <w:r>
        <w:t>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Pr>
        <w:pStyle w:val="ListBullet"/>
      </w:pPr>
      <w:r>
        <w:t>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Pr>
        <w:pStyle w:val="ListBullet"/>
      </w:pPr>
      <w:r>
        <w:t>Übergang und Schutz: Positive Wirkung darf nicht dauerhaft Luxus bleiben. Grundbedarfe, KMU, Kommunen, verletzliche Gruppen und kleine Lieferanten benötigen Schutz, Übergangsfristen, Beratung, Datenadapter, Finanzierung und einfache Verfahren.</w:t>
      </w:r>
    </w:p>
    <w:p>
      <w:pPr>
        <w:pStyle w:val="ListBullet"/>
      </w:pPr>
      <w:r>
        <w:t>Evaluation und Korrektur: Jeder Pilot braucht Hypothesen, Messplan, Datenqualitätsklassen, Abbruchregeln, Korrekturschleifen, öffentliche Auswertung und Skalierungskriterien. Fehler sind nicht das Ende des Modells, sondern Material des Lernens.</w:t>
      </w:r>
    </w:p>
    <w:p>
      <w:pPr>
        <w:pStyle w:val="ListBullet"/>
      </w:pPr>
      <w:r>
        <w:t>Schutz vor Technokratie: Wirkungsmessung ersetzt keine demokratische Entscheidung. Sie macht Folgen sichtbar. Bewertungen müssen öffentlich begründet, anfechtbar, versioniert, unabhängig geprüft und politisch diskutierbar sein.</w:t>
      </w:r>
    </w:p>
    <w:p>
      <w:pPr>
        <w:pStyle w:val="Heading1"/>
      </w:pPr>
      <w:r>
        <w:t>Quellenrahmen</w:t>
      </w:r>
    </w:p>
    <w:p>
      <w:r>
        <w:t>Weber, Natalie: Die neue Ordnung des Wohlstands. Arbeitsfassung 2026. Teil XVI - Transformation, Übergänge und Implementierung, Kapitel 97 bis 100.</w:t>
      </w:r>
    </w:p>
    <w:p>
      <w:r>
        <w:t>Weber, Natalie: Grundlagenpapier Wirkungsökonomie WÖk. 2025. Abschnitte zu Umsetzung, Transformation, Change-Management und Praxisbeispielen.</w:t>
      </w:r>
    </w:p>
    <w:p>
      <w:r>
        <w:t>European Commission: Better regulation: guidelines and toolbox. https://commission.europa.eu/law/law-making-process/better-regulation/better-regulation-guidelines-and-toolbox_en</w:t>
      </w:r>
    </w:p>
    <w:p>
      <w:r>
        <w:t>OECD: Recommendation of the Council on Regulatory Policy and Governance. OECD/LEGAL/0390. https://legalinstruments.oecd.org/en/instruments/OECD-LEGAL-0390</w:t>
      </w:r>
    </w:p>
    <w:p>
      <w:r>
        <w:t>OECD: Regulatory Sandbox Toolkit. 2025. https://www.oecd.org/en/publications/regulatory-sandbox-toolkit_de36fa62-en.html</w:t>
      </w:r>
    </w:p>
    <w:p>
      <w:r>
        <w:t>European Commission: Use of regulatory sandboxes in EU Member States. 2026. https://op.europa.eu/en/publication-detail/-/publication/6942cc0e-3d27-11f1-814f-01aa75ed71a1/language-en</w:t>
      </w:r>
    </w:p>
    <w:p>
      <w:r>
        <w:t>European Commission: Public Procurement of Innovation. https://single-market-economy.ec.europa.eu/single-market/public-procurement/strategic-procurement/public-procurement-innovation_en</w:t>
      </w:r>
    </w:p>
    <w:p>
      <w:r>
        <w:t>OECD: Strategic Public Procurement. https://www.oecd.org/en/topics/strategic-public-procurement.html</w:t>
      </w:r>
    </w:p>
    <w:p>
      <w:r>
        <w:t>OECD: Implementation Toolkit for the OECD Recommendation on Public Policy Evaluation. 2025. https://www.oecd.org/en/publications/implementation-toolkit-for-the-oecd-recommendation-on-public-policy-evaluation_77faa4fe-en.html</w:t>
      </w:r>
    </w:p>
    <w:p>
      <w:r>
        <w:t>United Nations: Transforming our world: the 2030 Agenda for Sustainable Development. https://sdgs.un.org/2030agenda</w:t>
      </w:r>
    </w:p>
    <w:p>
      <w:pPr>
        <w:pStyle w:val="Heading1"/>
      </w:pPr>
      <w:r>
        <w:t>Glossarlinks</w:t>
      </w:r>
    </w:p>
    <w:p>
      <w:pPr>
        <w:pStyle w:val="ListBullet"/>
      </w:pPr>
      <w:r>
        <w:t>Wirkung: Tatsächliche Veränderung von Zuständen. Wirkung kann positiv, negativ oder neutral sein.</w:t>
      </w:r>
    </w:p>
    <w:p>
      <w:pPr>
        <w:pStyle w:val="ListBullet"/>
      </w:pPr>
      <w:r>
        <w:t>Positive Netto-Wirkung: Zielgröße der Wirkungsökonomie: tragfähige Wirkung für Mensch, Planet und Demokratie unter Berücksichtigung negativer Effekte und roter Linien.</w:t>
      </w:r>
    </w:p>
    <w:p>
      <w:pPr>
        <w:pStyle w:val="ListBullet"/>
      </w:pPr>
      <w:r>
        <w:t>Pilotierung: Zeitlich, sachlich und räumlich begrenzte Erprobung einer Wirkungslogik mit Messplan, Rechtsschutz, Evaluation und Korrektur.</w:t>
      </w:r>
    </w:p>
    <w:p>
      <w:pPr>
        <w:pStyle w:val="ListBullet"/>
      </w:pPr>
      <w:r>
        <w:t>Reallabor: Geschützter Umsetzungsraum, in dem Regeln, Daten, Prozesse und Governance in realen Bedingungen geprüft werden.</w:t>
      </w:r>
    </w:p>
    <w:p>
      <w:pPr>
        <w:pStyle w:val="ListBullet"/>
      </w:pPr>
      <w:r>
        <w:t>Wirkungsreife: Grad, zu dem ein Instrument methodisch, rechtlich, organisatorisch, sozial und datenbezogen bereit für Skalierung ist.</w:t>
      </w:r>
    </w:p>
    <w:p>
      <w:pPr>
        <w:pStyle w:val="ListBullet"/>
      </w:pPr>
      <w:r>
        <w:t>Wirkungs-Konversion: Glaubwürdige Überführung von Altkapital, Geschäftsmodellen und Infrastrukturen von Verlustleistung in Wirkleistung.</w:t>
      </w:r>
    </w:p>
    <w:p>
      <w:pPr>
        <w:pStyle w:val="ListBullet"/>
      </w:pPr>
      <w:r>
        <w:t>Reverse Merit Order: Engpasslogik: kritische negative Wirkungen dürfen nicht durch positive Werte überdeckt werden.</w:t>
      </w:r>
    </w:p>
    <w:p>
      <w:pPr>
        <w:pStyle w:val="ListBullet"/>
      </w:pPr>
      <w:r>
        <w:t>Wirkungsrat: Unabhängige Sicherungsinstitution für Indikatoren, Benchmarks, Versionierung, Evaluation und Missbrauchsschutz.</w:t>
      </w:r>
    </w:p>
    <w:p>
      <w:pPr>
        <w:pStyle w:val="ListBullet"/>
      </w:pPr>
      <w:r>
        <w:t>SDG+: WÖk-Erweiterung für Demokratiequalität, Medienqualität, Rechtsstaatlichkeit, Diskursfähigkeit, institutionelles Vertrauen, gesellschaftlichen Zusammenhalt und digitale Selbstbestimmung.</w:t>
      </w:r>
    </w:p>
    <w:sectPr w:rsidR="00FC693F" w:rsidRPr="0006063C" w:rsidSect="00034616">
      <w:footerReference w:type="default" r:id="rId9"/>
      <w:pgSz w:w="12240" w:h="15840"/>
      <w:pgMar w:top="964" w:right="1020" w:bottom="85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xml:space="preserve">Detailkonzept Soziale Abfederung und Kaufkraftschutz - Natalie Weber - Wirkungsökonomie - Seite </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B3D3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0B3D3A"/>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0B3D3A"/>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