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3D3A"/>
          <w:sz w:val="40"/>
        </w:rPr>
        <w:t>Wirkungsindikatoren Rang 20</w:t>
      </w:r>
    </w:p>
    <w:p>
      <w:pPr>
        <w:pStyle w:val="Subtitle"/>
      </w:pPr>
      <w:r>
        <w:t>Implementierungsreife, Pilotqualität, Übergangsschutz und Lernfähigkeit</w:t>
      </w:r>
    </w:p>
    <w:p>
      <w:pPr/>
      <w:r>
        <w:rPr>
          <w:sz w:val="16"/>
        </w:rPr>
        <w:t>Dokumenttyp: Wirkungsindikatoren</w:t>
      </w:r>
    </w:p>
    <w:p>
      <w:pPr/>
      <w:r>
        <w:rPr>
          <w:sz w:val="16"/>
        </w:rPr>
        <w:t>Autorin: Natalie Weber</w:t>
      </w:r>
    </w:p>
    <w:p>
      <w:pPr/>
      <w:r>
        <w:rPr>
          <w:sz w:val="16"/>
        </w:rPr>
        <w:t>Referenz: Wirkungsökonomie</w:t>
      </w:r>
    </w:p>
    <w:p>
      <w:pPr/>
      <w:r>
        <w:rPr>
          <w:sz w:val="16"/>
        </w:rPr>
        <w:t>Version: 1.0</w:t>
      </w:r>
    </w:p>
    <w:p>
      <w:pPr/>
      <w:r>
        <w:rPr>
          <w:sz w:val="16"/>
        </w:rPr>
        <w:t>Stand: Mai 2026</w:t>
      </w:r>
    </w:p>
    <w:p>
      <w:pPr/>
      <w:r>
        <w:rPr>
          <w:sz w:val="16"/>
        </w:rPr>
        <w:t>Status: Langfassungsentwurf für Website, Akademie, Dossier und Download</w:t>
      </w:r>
    </w:p>
    <w:p>
      <w:pPr/>
      <w:r>
        <w:rPr>
          <w:sz w:val="16"/>
        </w:rPr>
        <w:t>Hinweis: Dieses Dokument ist für öffentliche Onlinefassungen und Downloads bestimmt. Es enthält keine internen Arbeitsanweisungen.</w:t>
      </w:r>
    </w:p>
    <w:p>
      <w:pPr>
        <w:pStyle w:val="Heading1"/>
      </w:pPr>
      <w:r>
        <w:t>Inhaltsverzeichnis</w:t>
      </w:r>
    </w:p>
    <w:p>
      <w:pPr>
        <w:pStyle w:val="ListBullet"/>
      </w:pPr>
      <w:r>
        <w:t>1. Dokumentinformationen</w:t>
      </w:r>
    </w:p>
    <w:p>
      <w:pPr>
        <w:pStyle w:val="ListBullet"/>
      </w:pPr>
      <w:r>
        <w:t>2. Kurzfassung</w:t>
      </w:r>
    </w:p>
    <w:p>
      <w:pPr>
        <w:pStyle w:val="ListBullet"/>
      </w:pPr>
      <w:r>
        <w:t>3. Indikatorenfamilien</w:t>
      </w:r>
    </w:p>
    <w:p>
      <w:pPr>
        <w:pStyle w:val="ListBullet"/>
      </w:pPr>
      <w:r>
        <w:t>4. Berechnungslogik</w:t>
      </w:r>
    </w:p>
    <w:p>
      <w:pPr>
        <w:pStyle w:val="ListBullet"/>
      </w:pPr>
      <w:r>
        <w:t>5. Keine Personenbewertung</w:t>
      </w:r>
    </w:p>
    <w:p>
      <w:pPr>
        <w:pStyle w:val="ListBullet"/>
      </w:pPr>
      <w:r>
        <w:t>6. Quellenrahmen</w:t>
      </w:r>
    </w:p>
    <w:p>
      <w:pPr>
        <w:pStyle w:val="ListBullet"/>
      </w:pPr>
      <w:r>
        <w:t>7. Glossarlinks</w:t>
      </w:r>
    </w:p>
    <w:p>
      <w:pPr>
        <w:pStyle w:val="Heading1"/>
      </w:pPr>
      <w:r>
        <w:t>Dokumentinformationen</w:t>
      </w:r>
    </w:p>
    <w:p>
      <w:r>
        <w:t>Dokumenttyp: Wirkungsindikatoren</w:t>
      </w:r>
    </w:p>
    <w:p>
      <w:r>
        <w:t>Autorin: Natalie Weber</w:t>
      </w:r>
    </w:p>
    <w:p>
      <w:r>
        <w:t>Referenz: Wirkungsökonomie</w:t>
      </w:r>
    </w:p>
    <w:p>
      <w:r>
        <w:t>Version: 1.0</w:t>
      </w:r>
    </w:p>
    <w:p>
      <w:r>
        <w:t>Stand: Mai 2026</w:t>
      </w:r>
    </w:p>
    <w:p>
      <w:r>
        <w:t>Status: Langfassungsentwurf für Website, Akademie, Dossier und Download</w:t>
      </w:r>
    </w:p>
    <w:p>
      <w:r>
        <w:t>Hinweis: Dieses Dokument ist für öffentliche Onlinefassungen und Downloads bestimmt. Es enthält keine internen Arbeitsanweisungen.</w:t>
      </w:r>
    </w:p>
    <w:p>
      <w:pPr>
        <w:pStyle w:val="Heading1"/>
      </w:pPr>
      <w:r>
        <w:t>Kurzfassung</w:t>
      </w:r>
    </w:p>
    <w:p>
      <w:r>
        <w:t>Dieses Dokument definiert die Indikatorlogik für Rang 20. Bewertet werden nicht Menschen, sondern Implementierungsstrukturen, Datenqualität, Pilotfähigkeit, Übergangsschutz und Lernfähigkeit.</w:t>
      </w:r>
    </w:p>
    <w:p>
      <w:pPr>
        <w:pStyle w:val="Heading1"/>
      </w:pPr>
      <w:r>
        <w:t>Indikatorenfamilien</w:t>
      </w:r>
    </w:p>
    <w:tbl>
      <w:tblPr>
        <w:tblStyle w:val="TableGrid"/>
        <w:tblW w:type="auto" w:w="0"/>
        <w:tblLook w:firstColumn="1" w:firstRow="1" w:lastColumn="0" w:lastRow="0" w:noHBand="0" w:noVBand="1" w:val="04A0"/>
      </w:tblPr>
      <w:tblGrid>
        <w:gridCol w:w="3400"/>
        <w:gridCol w:w="3400"/>
        <w:gridCol w:w="3400"/>
      </w:tblGrid>
      <w:tr>
        <w:tc>
          <w:tcPr>
            <w:tcW w:type="dxa" w:w="3400"/>
          </w:tcPr>
          <w:p>
            <w:r>
              <w:rPr>
                <w:b/>
              </w:rPr>
              <w:t>Code</w:t>
            </w:r>
          </w:p>
        </w:tc>
        <w:tc>
          <w:tcPr>
            <w:tcW w:type="dxa" w:w="3400"/>
          </w:tcPr>
          <w:p>
            <w:r>
              <w:rPr>
                <w:b/>
              </w:rPr>
              <w:t>Indikatorfamilie</w:t>
            </w:r>
          </w:p>
        </w:tc>
        <w:tc>
          <w:tcPr>
            <w:tcW w:type="dxa" w:w="3400"/>
          </w:tcPr>
          <w:p>
            <w:r>
              <w:rPr>
                <w:b/>
              </w:rPr>
              <w:t>Messlogik</w:t>
            </w:r>
          </w:p>
        </w:tc>
      </w:tr>
      <w:tr>
        <w:tc>
          <w:tcPr>
            <w:tcW w:type="dxa" w:w="3400"/>
          </w:tcPr>
          <w:p>
            <w:r>
              <w:t>WOK-TR-101</w:t>
            </w:r>
          </w:p>
        </w:tc>
        <w:tc>
          <w:tcPr>
            <w:tcW w:type="dxa" w:w="3400"/>
          </w:tcPr>
          <w:p>
            <w:r>
              <w:t>Wirkungsreife</w:t>
            </w:r>
          </w:p>
        </w:tc>
        <w:tc>
          <w:tcPr>
            <w:tcW w:type="dxa" w:w="3400"/>
          </w:tcPr>
          <w:p>
            <w:r>
              <w:t>Score aus Datenqualität, Recht, Sozialschutz, Verwaltung und Skalierung</w:t>
            </w:r>
          </w:p>
        </w:tc>
      </w:tr>
      <w:tr>
        <w:tc>
          <w:tcPr>
            <w:tcW w:type="dxa" w:w="3400"/>
          </w:tcPr>
          <w:p>
            <w:r>
              <w:t>WOK-TR-102</w:t>
            </w:r>
          </w:p>
        </w:tc>
        <w:tc>
          <w:tcPr>
            <w:tcW w:type="dxa" w:w="3400"/>
          </w:tcPr>
          <w:p>
            <w:r>
              <w:t>Pilotqualität</w:t>
            </w:r>
          </w:p>
        </w:tc>
        <w:tc>
          <w:tcPr>
            <w:tcW w:type="dxa" w:w="3400"/>
          </w:tcPr>
          <w:p>
            <w:r>
              <w:t>Hypothese, Messplan, Abbruchregel, Evaluation, Beteiligung</w:t>
            </w:r>
          </w:p>
        </w:tc>
      </w:tr>
      <w:tr>
        <w:tc>
          <w:tcPr>
            <w:tcW w:type="dxa" w:w="3400"/>
          </w:tcPr>
          <w:p>
            <w:r>
              <w:t>WOK-TR-103</w:t>
            </w:r>
          </w:p>
        </w:tc>
        <w:tc>
          <w:tcPr>
            <w:tcW w:type="dxa" w:w="3400"/>
          </w:tcPr>
          <w:p>
            <w:r>
              <w:t>Datenqualitätsklasse</w:t>
            </w:r>
          </w:p>
        </w:tc>
        <w:tc>
          <w:tcPr>
            <w:tcW w:type="dxa" w:w="3400"/>
          </w:tcPr>
          <w:p>
            <w:r>
              <w:t>Herkunft, Aktualität, Prüfbarkeit, Granularität, Unsicherheit</w:t>
            </w:r>
          </w:p>
        </w:tc>
      </w:tr>
      <w:tr>
        <w:tc>
          <w:tcPr>
            <w:tcW w:type="dxa" w:w="3400"/>
          </w:tcPr>
          <w:p>
            <w:r>
              <w:t>WOK-TR-104</w:t>
            </w:r>
          </w:p>
        </w:tc>
        <w:tc>
          <w:tcPr>
            <w:tcW w:type="dxa" w:w="3400"/>
          </w:tcPr>
          <w:p>
            <w:r>
              <w:t>Übergangsschutz</w:t>
            </w:r>
          </w:p>
        </w:tc>
        <w:tc>
          <w:tcPr>
            <w:tcW w:type="dxa" w:w="3400"/>
          </w:tcPr>
          <w:p>
            <w:r>
              <w:t>Grundbedarfsschutz, KMU-Entlastung, kommunale Entlastung</w:t>
            </w:r>
          </w:p>
        </w:tc>
      </w:tr>
      <w:tr>
        <w:tc>
          <w:tcPr>
            <w:tcW w:type="dxa" w:w="3400"/>
          </w:tcPr>
          <w:p>
            <w:r>
              <w:t>WOK-TR-105</w:t>
            </w:r>
          </w:p>
        </w:tc>
        <w:tc>
          <w:tcPr>
            <w:tcW w:type="dxa" w:w="3400"/>
          </w:tcPr>
          <w:p>
            <w:r>
              <w:t>Beteiligungsqualität</w:t>
            </w:r>
          </w:p>
        </w:tc>
        <w:tc>
          <w:tcPr>
            <w:tcW w:type="dxa" w:w="3400"/>
          </w:tcPr>
          <w:p>
            <w:r>
              <w:t>Öffentliche Konsultation, Betroffenenbeteiligung, Transparenz</w:t>
            </w:r>
          </w:p>
        </w:tc>
      </w:tr>
      <w:tr>
        <w:tc>
          <w:tcPr>
            <w:tcW w:type="dxa" w:w="3400"/>
          </w:tcPr>
          <w:p>
            <w:r>
              <w:t>WOK-TR-106</w:t>
            </w:r>
          </w:p>
        </w:tc>
        <w:tc>
          <w:tcPr>
            <w:tcW w:type="dxa" w:w="3400"/>
          </w:tcPr>
          <w:p>
            <w:r>
              <w:t>Rechtsschutz</w:t>
            </w:r>
          </w:p>
        </w:tc>
        <w:tc>
          <w:tcPr>
            <w:tcW w:type="dxa" w:w="3400"/>
          </w:tcPr>
          <w:p>
            <w:r>
              <w:t>Begründung, Einsicht, Widerspruch, unabhängige Prüfung</w:t>
            </w:r>
          </w:p>
        </w:tc>
      </w:tr>
      <w:tr>
        <w:tc>
          <w:tcPr>
            <w:tcW w:type="dxa" w:w="3400"/>
          </w:tcPr>
          <w:p>
            <w:r>
              <w:t>WOK-TR-107</w:t>
            </w:r>
          </w:p>
        </w:tc>
        <w:tc>
          <w:tcPr>
            <w:tcW w:type="dxa" w:w="3400"/>
          </w:tcPr>
          <w:p>
            <w:r>
              <w:t>Skalierbarkeit</w:t>
            </w:r>
          </w:p>
        </w:tc>
        <w:tc>
          <w:tcPr>
            <w:tcW w:type="dxa" w:w="3400"/>
          </w:tcPr>
          <w:p>
            <w:r>
              <w:t>Kosten, Verwaltungsfähigkeit, Datenstabilität, Akzeptanz</w:t>
            </w:r>
          </w:p>
        </w:tc>
      </w:tr>
      <w:tr>
        <w:tc>
          <w:tcPr>
            <w:tcW w:type="dxa" w:w="3400"/>
          </w:tcPr>
          <w:p>
            <w:r>
              <w:t>WOK-TR-108</w:t>
            </w:r>
          </w:p>
        </w:tc>
        <w:tc>
          <w:tcPr>
            <w:tcW w:type="dxa" w:w="3400"/>
          </w:tcPr>
          <w:p>
            <w:r>
              <w:t>Wirkungs-Konversion</w:t>
            </w:r>
          </w:p>
        </w:tc>
        <w:tc>
          <w:tcPr>
            <w:tcW w:type="dxa" w:w="3400"/>
          </w:tcPr>
          <w:p>
            <w:r>
              <w:t>Anteil Altkapital oder Geschäftsmodellanteile mit glaubwürdigem Transformationspfad</w:t>
            </w:r>
          </w:p>
        </w:tc>
      </w:tr>
    </w:tbl>
    <w:p>
      <w:pPr>
        <w:pStyle w:val="Heading1"/>
      </w:pPr>
      <w:r>
        <w:t>Berechnungslogik</w:t>
      </w:r>
    </w:p>
    <w:p>
      <w:r>
        <w:t>Der Implementierungs-Score kann als Minimum aus Datenreife, Rechtsklarheit, sozialer Verträglichkeit, Verwaltungsfähigkeit und Evaluationsfähigkeit gelesen werden. Ein Pilot mit hoher Datenqualität, aber fehlendem Rechtsschutz, ist nicht wirkungsreif. Ein Instrument mit starker Lenkung, aber ohne Grundbedarfsschutz, darf nicht skaliert werden.</w:t>
      </w:r>
    </w:p>
    <w:p>
      <w:pPr>
        <w:pStyle w:val="Heading1"/>
      </w:pPr>
      <w:r>
        <w:t>Keine Personenbewertung</w:t>
      </w:r>
    </w:p>
    <w:p>
      <w:r>
        <w:t>Die Indikatoren bewerten Strukturen, Programme, Instrumente, Organisationen, Daten, Verfahren und öffentliche Entscheidungen. Sie bewerten keine einzelnen Bürger:innen und keine Lebensführung.</w:t>
      </w:r>
    </w:p>
    <w:p>
      <w:pPr>
        <w:pStyle w:val="Heading1"/>
      </w:pPr>
      <w:r>
        <w:t>Quellenrahmen</w:t>
      </w:r>
    </w:p>
    <w:p>
      <w:r>
        <w:t>Weber, Natalie: Die neue Ordnung des Wohlstands. Arbeitsfassung 2026. Teil XVI - Transformation, Übergänge und Implementierung, Kapitel 97 bis 100.</w:t>
      </w:r>
    </w:p>
    <w:p>
      <w:r>
        <w:t>Weber, Natalie: Grundlagenpapier Wirkungsökonomie WÖk. 2025. Abschnitte zu Umsetzung, Transformation, Change-Management und Praxisbeispielen.</w:t>
      </w:r>
    </w:p>
    <w:p>
      <w:r>
        <w:t>European Commission: Better regulation: guidelines and toolbox. https://commission.europa.eu/law/law-making-process/better-regulation/better-regulation-guidelines-and-toolbox_en</w:t>
      </w:r>
    </w:p>
    <w:p>
      <w:r>
        <w:t>OECD: Recommendation of the Council on Regulatory Policy and Governance. OECD/LEGAL/0390. https://legalinstruments.oecd.org/en/instruments/OECD-LEGAL-0390</w:t>
      </w:r>
    </w:p>
    <w:p>
      <w:r>
        <w:t>OECD: Regulatory Sandbox Toolkit. 2025. https://www.oecd.org/en/publications/regulatory-sandbox-toolkit_de36fa62-en.html</w:t>
      </w:r>
    </w:p>
    <w:p>
      <w:r>
        <w:t>European Commission: Use of regulatory sandboxes in EU Member States. 2026. https://op.europa.eu/en/publication-detail/-/publication/6942cc0e-3d27-11f1-814f-01aa75ed71a1/language-en</w:t>
      </w:r>
    </w:p>
    <w:p>
      <w:r>
        <w:t>European Commission: Public Procurement of Innovation. https://single-market-economy.ec.europa.eu/single-market/public-procurement/strategic-procurement/public-procurement-innovation_en</w:t>
      </w:r>
    </w:p>
    <w:p>
      <w:r>
        <w:t>OECD: Strategic Public Procurement. https://www.oecd.org/en/topics/strategic-public-procurement.html</w:t>
      </w:r>
    </w:p>
    <w:p>
      <w:r>
        <w:t>OECD: Implementation Toolkit for the OECD Recommendation on Public Policy Evaluation. 2025. https://www.oecd.org/en/publications/implementation-toolkit-for-the-oecd-recommendation-on-public-policy-evaluation_77faa4fe-en.html</w:t>
      </w:r>
    </w:p>
    <w:p>
      <w:r>
        <w:t>United Nations: Transforming our world: the 2030 Agenda for Sustainable Development. https://sdgs.un.org/2030agenda</w:t>
      </w:r>
    </w:p>
    <w:p>
      <w:pPr>
        <w:pStyle w:val="Heading1"/>
      </w:pPr>
      <w:r>
        <w:t>Glossarlinks</w:t>
      </w:r>
    </w:p>
    <w:p>
      <w:pPr>
        <w:pStyle w:val="ListBullet"/>
      </w:pPr>
      <w:r>
        <w:t>Wirkung: Tatsächliche Veränderung von Zuständen. Wirkung kann positiv, negativ oder neutral sein.</w:t>
      </w:r>
    </w:p>
    <w:p>
      <w:pPr>
        <w:pStyle w:val="ListBullet"/>
      </w:pPr>
      <w:r>
        <w:t>Positive Netto-Wirkung: Zielgröße der Wirkungsökonomie: tragfähige Wirkung für Mensch, Planet und Demokratie unter Berücksichtigung negativer Effekte und roter Linien.</w:t>
      </w:r>
    </w:p>
    <w:p>
      <w:pPr>
        <w:pStyle w:val="ListBullet"/>
      </w:pPr>
      <w:r>
        <w:t>Pilotierung: Zeitlich, sachlich und räumlich begrenzte Erprobung einer Wirkungslogik mit Messplan, Rechtsschutz, Evaluation und Korrektur.</w:t>
      </w:r>
    </w:p>
    <w:p>
      <w:pPr>
        <w:pStyle w:val="ListBullet"/>
      </w:pPr>
      <w:r>
        <w:t>Reallabor: Geschützter Umsetzungsraum, in dem Regeln, Daten, Prozesse und Governance in realen Bedingungen geprüft werden.</w:t>
      </w:r>
    </w:p>
    <w:p>
      <w:pPr>
        <w:pStyle w:val="ListBullet"/>
      </w:pPr>
      <w:r>
        <w:t>Wirkungsreife: Grad, zu dem ein Instrument methodisch, rechtlich, organisatorisch, sozial und datenbezogen bereit für Skalierung ist.</w:t>
      </w:r>
    </w:p>
    <w:p>
      <w:pPr>
        <w:pStyle w:val="ListBullet"/>
      </w:pPr>
      <w:r>
        <w:t>Wirkungs-Konversion: Glaubwürdige Überführung von Altkapital, Geschäftsmodellen und Infrastrukturen von Verlustleistung in Wirkleistung.</w:t>
      </w:r>
    </w:p>
    <w:p>
      <w:pPr>
        <w:pStyle w:val="ListBullet"/>
      </w:pPr>
      <w:r>
        <w:t>Reverse Merit Order: Engpasslogik: kritische negative Wirkungen dürfen nicht durch positive Werte überdeckt werden.</w:t>
      </w:r>
    </w:p>
    <w:p>
      <w:pPr>
        <w:pStyle w:val="ListBullet"/>
      </w:pPr>
      <w:r>
        <w:t>Wirkungsrat: Unabhängige Sicherungsinstitution für Indikatoren, Benchmarks, Versionierung, Evaluation und Missbrauchsschutz.</w:t>
      </w:r>
    </w:p>
    <w:p>
      <w:pPr>
        <w:pStyle w:val="ListBullet"/>
      </w:pPr>
      <w:r>
        <w:t>SDG+: WÖk-Erweiterung für Demokratiequalität, Medienqualität, Rechtsstaatlichkeit, Diskursfähigkeit, institutionelles Vertrauen, gesellschaftlichen Zusammenhalt und digitale Selbstbestimmung.</w:t>
      </w:r>
    </w:p>
    <w:sectPr w:rsidR="00FC693F" w:rsidRPr="0006063C" w:rsidSect="00034616">
      <w:footerReference w:type="default" r:id="rId9"/>
      <w:pgSz w:w="12240" w:h="15840"/>
      <w:pgMar w:top="964"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Wirkungsindikatoren Rang 20 - Natalie Weber - Wirkungsökonomie - Seite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B3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B3D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B3D3A"/>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