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1: Widerstand gegen neue Massstaebe</w:t>
      </w:r>
    </w:p>
    <w:p>
      <w:r>
        <w:t>Warum neue Bewertungslogiken alte Selbstverstaendlichkeiten, Machtpositionen und Statusordnungen irritieren.</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Warum neue Bewertungslogiken alte Selbstverstaendlichkeiten, Machtpositionen und Statusordnungen irritieren.</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"Widerstand gegen neue Massstaebe"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Massstaebe als Machtordnungen, Widerstand jenseits von Interessen, Identitaetskonflikte, produktive Kritik, Kommunikation ohne Abwehrhaltung.</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