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12B"/>
          <w:sz w:val="36"/>
        </w:rPr>
        <w:t>Wirkungsindikatoren Rang 21</w:t>
      </w:r>
    </w:p>
    <w:p>
      <w:r>
        <w:rPr>
          <w:color w:val="5C6660"/>
          <w:sz w:val="17"/>
        </w:rPr>
        <w:t>Autorin: Natalie Weber</w:t>
      </w:r>
    </w:p>
    <w:p>
      <w:r>
        <w:rPr>
          <w:color w:val="5C6660"/>
          <w:sz w:val="17"/>
        </w:rPr>
        <w:t>Referenz: Wirkungsoekonomie</w:t>
      </w:r>
    </w:p>
    <w:p>
      <w:r>
        <w:rPr>
          <w:color w:val="5C6660"/>
          <w:sz w:val="17"/>
        </w:rPr>
        <w:t>Version: 1.0</w:t>
      </w:r>
    </w:p>
    <w:p>
      <w:r>
        <w:rPr>
          <w:color w:val="5C6660"/>
          <w:sz w:val="17"/>
        </w:rPr>
        <w:t>Stand: Mai 2026</w:t>
      </w:r>
    </w:p>
    <w:p>
      <w:r>
        <w:rPr>
          <w:color w:val="5C6660"/>
          <w:sz w:val="17"/>
        </w:rPr>
        <w:t>Status: Langfassungsentwurf fuer Website, Akademie, Downloads und politische Anschlussfaehigkeit</w:t>
      </w:r>
    </w:p>
    <w:p>
      <w:r>
        <w:rPr>
          <w:color w:val="5C6660"/>
          <w:sz w:val="17"/>
        </w:rPr>
        <w:t>Dokumenttyp: Indikatorendokument</w:t>
      </w:r>
    </w:p>
    <w:p>
      <w:pPr>
        <w:pStyle w:val="Heading1"/>
      </w:pPr>
      <w:r>
        <w:t>Executive Summary</w:t>
      </w:r>
    </w:p>
    <w:p>
      <w:r>
        <w:t>Die Wirkungsindikatoren fuer Rang 21 messen nicht Kritik als Meinung, sondern Qualitaet der Schutzarchitektur. Sie pruefen, ob Anwendungen transparent, anfechtbar, beteiligungsorientiert, datensparsam, lernfaehig und freiheitskompatibel sind.</w:t>
      </w:r>
    </w:p>
    <w:p>
      <w:pPr>
        <w:pStyle w:val="Heading1"/>
      </w:pPr>
      <w:r>
        <w:t>Indikatoren</w:t>
      </w:r>
    </w:p>
    <w:p>
      <w:r>
        <w:t>WOK-GOV-2101: Technokratie-Risiko. Messlogik: Anteil automatisierter Entscheidungen mit menschlicher Pruefung, Anfechtung und Begruendungspflicht. Bezug: SDG+ Rechtsstaatlichkeit.</w:t>
      </w:r>
    </w:p>
    <w:p>
      <w:r>
        <w:t>WOK-GOV-2102: Rechtsschutzfaehigkeit. Messlogik: Existenz von Beschwerde-, Ombuds- und Korrekturwegen je Wirkungsinstrument. Bezug: SDG 16.</w:t>
      </w:r>
    </w:p>
    <w:p>
      <w:r>
        <w:t>WOK-DATA-2103: Datenmacht-Konzentration. Messlogik: Grad der Zentralisierung von Wirkungsdaten, Zugriffsrechten und Modellhoheit. Bezug: SDG+ digitale Selbstbestimmung.</w:t>
      </w:r>
    </w:p>
    <w:p>
      <w:r>
        <w:t>WOK-DISC-2104: Narrativ-Verzerrung. Messlogik: Reichweite von Kontroll-, Weltregierung- und Social-Credit-Frames ohne Faktenbasis. Bezug: SDG+ Diskursfaehigkeit.</w:t>
      </w:r>
    </w:p>
    <w:p>
      <w:r>
        <w:t>WOK-AUD-2105: Wirkungssimulation. Messlogik: Anteil positiver Wirkungsbehauptungen ohne Datenqualitaet, Benchmark, Audit oder Rueckkopplung. Bezug: SDG 12 / SDG+ Transparenz.</w:t>
      </w:r>
    </w:p>
    <w:p>
      <w:r>
        <w:t>WOK-EVAL-2106: Fehlbarkeitskennzeichnung. Messlogik: Anteil der Bewertungen mit Unsicherheitsklasse, Datenqualitaetsklasse und Revisionsdatum. Bezug: SDG 16.</w:t>
      </w:r>
    </w:p>
    <w:p>
      <w:r>
        <w:t>WOK-PART-2107: Beteiligungsqualitaet. Messlogik: Betroffenenbeteiligung und oeffentliche Konsultation vor Verbindlichkeit. Bezug: SDG 16 / SDG 17.</w:t>
      </w:r>
    </w:p>
    <w:p>
      <w:r>
        <w:t>WOK-MARKT-2108: Markt- und Innovationsschutz. Messlogik: KMU-Tauglichkeit, dezentrale Suchprozesse und Schutz vor zentraler Ergebnisplanung. Bezug: SDG 8 / SDG 9.</w:t>
      </w:r>
    </w:p>
    <w:p>
      <w:pPr>
        <w:pStyle w:val="Heading1"/>
      </w:pPr>
      <w:r>
        <w:t>Anwendung</w:t>
      </w:r>
    </w:p>
    <w:p>
      <w:r>
        <w:t>Die Indikatoren werden fuer Pilotprojekte, Website-Tools, Gesetzesentwuerfe, Verwaltungsvorhaben, Produktkennzeichnung, KI-Systeme und Kommunikationsprojekte genutzt. Sie dienen nicht der Bewertung von Personen.</w:t>
      </w:r>
    </w:p>
    <w:p>
      <w:pPr>
        <w:pStyle w:val="Heading1"/>
      </w:pPr>
      <w:r>
        <w:t>Quellen</w:t>
      </w:r>
    </w:p>
    <w:p>
      <w:r>
        <w:t>Quellenrahmen: Natalie Weber: Die neue Ordnung des Wohlstands, Arbeitsfassung 2026, Teil XVII, Kapitel 101 bis 106.; Natalie Weber: Grundlagenpapier Wirkungsökonomie WÖk, 2025, Abschnitte Umsetzung, Transformation, Narrative, Change-Management und Akzeptanz.; Natalie Weber: Führender Begriffsleitfaden der Wirkungsökonomie, Version 1.0, Stand 21. Mai 2026.; United Nations: Transforming our world: The 2030 Agenda for Sustainable Development, https://sdgs.un.org/2030agenda.; European Commission: AI Act and guidelines on prohibited AI practices, https://digital-strategy.ec.europa.eu/.; European Commission: Digital Services Act, https://digital-strategy.ec.europa.eu/.; European Commission: Better regulation guidelines and toolbox, https://commission.europa.eu/.; OECD: Recommendation of the Council on Regulatory Policy and Governance, 2012, https://legalinstruments.oecd.org/.; NIST: Artificial Intelligence Risk Management Framework, https://www.nist.gov/itl/ai-risk-management-framework.; Council of Europe: Framework Convention on Artificial Intelligence and human rights, democracy and the rule of law, https://www.coe.int/.</w:t>
      </w:r>
    </w:p>
    <w:p>
      <w:r>
        <w:t>Copyright: © 2026 Natalie Weber. Referenz: Wirkungsökonomie.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