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Portalstartseite</w:t>
      </w:r>
    </w:p>
    <w:p>
      <w:pPr>
        <w:jc w:val="center"/>
      </w:pPr>
      <w:r>
        <w:rPr>
          <w:color w:val="5A5A5A"/>
          <w:sz w:val="26"/>
        </w:rPr>
        <w:t>Zukunftsbilder, Wirkungswohlstand und zivilisatorische Perspektive</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Portalstartseite</w:t>
      </w:r>
    </w:p>
    <w:p>
      <w:pPr>
        <w:spacing w:after="120" w:line="259" w:lineRule="auto"/>
      </w:pPr>
      <w:r>
        <w:rPr>
          <w:b w:val="0"/>
        </w:rPr>
        <w:t>4. Kacheln der Unterbereiche</w:t>
      </w:r>
    </w:p>
    <w:p>
      <w:pPr>
        <w:spacing w:after="120" w:line="259" w:lineRule="auto"/>
      </w:pPr>
      <w:r>
        <w:rPr>
          <w:b w:val="0"/>
        </w:rPr>
        <w:t>5. Abgrenzung</w:t>
      </w:r>
    </w:p>
    <w:p>
      <w:pPr>
        <w:spacing w:after="120" w:line="259" w:lineRule="auto"/>
      </w:pPr>
      <w:r>
        <w:rPr>
          <w:b w:val="0"/>
        </w:rPr>
        <w:t>6. SDG- und SDG+-Bezug</w:t>
      </w:r>
    </w:p>
    <w:p>
      <w:pPr>
        <w:spacing w:after="120" w:line="259" w:lineRule="auto"/>
      </w:pPr>
      <w:r>
        <w:rPr>
          <w:b w:val="0"/>
        </w:rPr>
        <w:t>7. Politische Anschlussfähigkeit und Umsetzungsoptionen</w:t>
      </w:r>
    </w:p>
    <w:p>
      <w:pPr>
        <w:spacing w:after="120" w:line="259" w:lineRule="auto"/>
      </w:pPr>
      <w:r>
        <w:rPr>
          <w:b w:val="0"/>
        </w:rPr>
        <w:t>8. Quellen und interne Bezugslinien</w:t>
      </w:r>
    </w:p>
    <w:p>
      <w:pPr>
        <w:spacing w:after="120" w:line="259" w:lineRule="auto"/>
      </w:pPr>
      <w:r>
        <w:rPr>
          <w:b w:val="0"/>
        </w:rPr>
        <w:t>9.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Portalstartseite</w:t>
      </w:r>
    </w:p>
    <w:p>
      <w:pPr>
        <w:pStyle w:val="Heading2"/>
      </w:pPr>
      <w:r>
        <w:t>Hero</w:t>
      </w:r>
    </w:p>
    <w:p>
      <w:pPr>
        <w:spacing w:after="120" w:line="259" w:lineRule="auto"/>
      </w:pPr>
      <w:r>
        <w:rPr>
          <w:b w:val="0"/>
        </w:rPr>
        <w:t>Zukunftsbilder sind keine Utopien. Sie sind Orientierungsräume für eine Gesellschaft, die ihre Maßstäbe korrigiert. Rang 22 zeigt, wie Alltag, Unternehmen, Staat und globale Ordnung aussehen können, wenn Wirkung in Preise, Daten, Kapital, Recht, Demokratie und Alltag zurückgekoppelt wird.</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Warum dieser Rang notwendig ist</w:t>
      </w:r>
    </w:p>
    <w:p>
      <w:pPr>
        <w:spacing w:after="120" w:line="259" w:lineRule="auto"/>
      </w:pPr>
      <w:r>
        <w:rPr>
          <w:b w:val="0"/>
        </w:rPr>
        <w:t>Nach den Portalen zu Produkten, Unternehmen, Staat, Kapital, Klima, Medien, Migration, Sicherheit, Digitalisierung, Wissenschaft, globaler Ordnung, Transformation und Kritik braucht die Wirkungsökonomie einen abschließenden Portalraum. Dieser Raum macht sichtbar, wofür die Architektur gebaut wird: nicht für mehr Bürokratie, sondern für bessere Lebensbedingungen, weniger Verlustleistung, mehr Resilienz und eine lernfähige Ordnung.</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Leitfrage</w:t>
      </w:r>
    </w:p>
    <w:p>
      <w:pPr>
        <w:spacing w:after="120" w:line="259" w:lineRule="auto"/>
      </w:pPr>
      <w:r>
        <w:rPr>
          <w:b w:val="0"/>
        </w:rPr>
        <w:t>Wie verändert sich eine Gesellschaft, wenn nicht mehr Kapital, Wachstum, Umsatz oder Reichweite der letzte Maßstab sind, sondern positive Netto-Wirkung für Mensch, Planet und Demokratie?</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1"/>
      </w:pPr>
      <w:r>
        <w:t>Kacheln der Unterbereiche</w:t>
      </w:r>
    </w:p>
    <w:p>
      <w:pPr>
        <w:pStyle w:val="Heading2"/>
      </w:pPr>
      <w:r>
        <w:t>Alltag 2035</w:t>
      </w:r>
    </w:p>
    <w:p>
      <w:pPr>
        <w:spacing w:after="120" w:line="259" w:lineRule="auto"/>
      </w:pPr>
      <w:r>
        <w:rPr>
          <w:b w:val="0"/>
        </w:rPr>
        <w:t>Wirkung wird am Preisschild, in Mobilität, Wohnen, Ernährung, Energie, Bildung, Pflege, Kultur und digitaler Öffentlichkeit erfahrbar.</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Unternehmen 2035</w:t>
      </w:r>
    </w:p>
    <w:p>
      <w:pPr>
        <w:spacing w:after="120" w:line="259" w:lineRule="auto"/>
      </w:pPr>
      <w:r>
        <w:rPr>
          <w:b w:val="0"/>
        </w:rPr>
        <w:t>Unternehmen steuern Portfolios, Risiko, Kapitalzugang, Lieferketten und Management nach Wirkung.</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Staat 2035</w:t>
      </w:r>
    </w:p>
    <w:p>
      <w:pPr>
        <w:spacing w:after="120" w:line="259" w:lineRule="auto"/>
      </w:pPr>
      <w:r>
        <w:rPr>
          <w:b w:val="0"/>
        </w:rPr>
        <w:t>Der Staat arbeitet mit Wirkungshaushalten, Beschaffung, Resilienz, Rechtsschutz und lernender Verwaltung.</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Globale Ordnung 2050</w:t>
      </w:r>
    </w:p>
    <w:p>
      <w:pPr>
        <w:spacing w:after="120" w:line="259" w:lineRule="auto"/>
      </w:pPr>
      <w:r>
        <w:rPr>
          <w:b w:val="0"/>
        </w:rPr>
        <w:t>Wirkungspartnerschaften, Ressourcenfairness, globale Resilienz und gemeinsame Standards entstehen ohne Weltregierung.</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1"/>
      </w:pPr>
      <w:r>
        <w:t>Abgrenzung</w:t>
      </w:r>
    </w:p>
    <w:p>
      <w:pPr>
        <w:pStyle w:val="Heading2"/>
      </w:pPr>
      <w:r>
        <w:t>Keine Utopie</w:t>
      </w:r>
    </w:p>
    <w:p>
      <w:pPr>
        <w:spacing w:after="120" w:line="259" w:lineRule="auto"/>
      </w:pPr>
      <w:r>
        <w:rPr>
          <w:b w:val="0"/>
        </w:rPr>
        <w:t>Rang 22 verspricht keine konfliktfreie Welt. Eine wirkungsökonomische Zukunft bleibt streitbar, fehleranfällig und politisch. Der Unterschied liegt in besserer Sichtbarkeit, Korrektur und Rückkopplung.</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Keine Personenbewertung</w:t>
      </w:r>
    </w:p>
    <w:p>
      <w:pPr>
        <w:spacing w:after="120" w:line="259" w:lineRule="auto"/>
      </w:pPr>
      <w:r>
        <w:rPr>
          <w:b w:val="0"/>
        </w:rPr>
        <w:t>Nicht Menschen werden bewertet, sondern Produkte, Institutionen, Kapitalflüsse, Programme, Regeln und Systemwirkungen.</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2"/>
      </w:pPr>
      <w:r>
        <w:t>Keine fertige Maschine</w:t>
      </w:r>
    </w:p>
    <w:p>
      <w:pPr>
        <w:spacing w:after="120" w:line="259" w:lineRule="auto"/>
      </w:pPr>
      <w:r>
        <w:rPr>
          <w:b w:val="0"/>
        </w:rPr>
        <w:t>Die Wirkungsökonomie endet nicht mit einem perfekten System. Sie endet mit einer Ordnung, die lernen muss.</w:t>
      </w:r>
    </w:p>
    <w:p>
      <w:pPr>
        <w:spacing w:after="120" w:line="259" w:lineRule="auto"/>
      </w:pPr>
      <w:r>
        <w:rPr>
          <w:b w:val="0"/>
        </w:rPr>
        <w:t>Für die Website muss dieser Abschnitt nicht als bloßer Teaser erscheinen. Er braucht Online-Volltext, Download, Querverlinkung, Glossaranschluss und eine klare Unterscheidung zwischen Wirkung, Wirkungspotenzial und Wirkungsbewertung.</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Portalstartseite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