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Gesamtdossier</w:t>
      </w:r>
    </w:p>
    <w:p>
      <w:pPr>
        <w:jc w:val="center"/>
      </w:pPr>
      <w:r>
        <w:rPr>
          <w:color w:val="5A5A5A"/>
          <w:sz w:val="26"/>
        </w:rPr>
        <w:t>Zukunftsbilder, Wirkungswohlstand und zivilisatorische Perspektive</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Buchanker Teil XVIII</w:t>
      </w:r>
    </w:p>
    <w:p>
      <w:pPr>
        <w:spacing w:after="120" w:line="259" w:lineRule="auto"/>
      </w:pPr>
      <w:r>
        <w:rPr>
          <w:b w:val="0"/>
        </w:rPr>
        <w:t>5. Alltag 2035</w:t>
      </w:r>
    </w:p>
    <w:p>
      <w:pPr>
        <w:spacing w:after="120" w:line="259" w:lineRule="auto"/>
      </w:pPr>
      <w:r>
        <w:rPr>
          <w:b w:val="0"/>
        </w:rPr>
        <w:t>6. Unternehmen 2035</w:t>
      </w:r>
    </w:p>
    <w:p>
      <w:pPr>
        <w:spacing w:after="120" w:line="259" w:lineRule="auto"/>
      </w:pPr>
      <w:r>
        <w:rPr>
          <w:b w:val="0"/>
        </w:rPr>
        <w:t>7. Staat 2035</w:t>
      </w:r>
    </w:p>
    <w:p>
      <w:pPr>
        <w:spacing w:after="120" w:line="259" w:lineRule="auto"/>
      </w:pPr>
      <w:r>
        <w:rPr>
          <w:b w:val="0"/>
        </w:rPr>
        <w:t>8. Globale Ordnung 2050</w:t>
      </w:r>
    </w:p>
    <w:p>
      <w:pPr>
        <w:spacing w:after="120" w:line="259" w:lineRule="auto"/>
      </w:pPr>
      <w:r>
        <w:rPr>
          <w:b w:val="0"/>
        </w:rPr>
        <w:t>9. Wirkungswohlstand</w:t>
      </w:r>
    </w:p>
    <w:p>
      <w:pPr>
        <w:spacing w:after="120" w:line="259" w:lineRule="auto"/>
      </w:pPr>
      <w:r>
        <w:rPr>
          <w:b w:val="0"/>
        </w:rPr>
        <w:t>10. Grenzen</w:t>
      </w:r>
    </w:p>
    <w:p>
      <w:pPr>
        <w:spacing w:after="120" w:line="259" w:lineRule="auto"/>
      </w:pPr>
      <w:r>
        <w:rPr>
          <w:b w:val="0"/>
        </w:rPr>
        <w:t>11. Website- und Akademielogik</w:t>
      </w:r>
    </w:p>
    <w:p>
      <w:pPr>
        <w:spacing w:after="120" w:line="259" w:lineRule="auto"/>
      </w:pPr>
      <w:r>
        <w:rPr>
          <w:b w:val="0"/>
        </w:rPr>
        <w:t>12. SDG- und SDG+-Bezug</w:t>
      </w:r>
    </w:p>
    <w:p>
      <w:pPr>
        <w:spacing w:after="120" w:line="259" w:lineRule="auto"/>
      </w:pPr>
      <w:r>
        <w:rPr>
          <w:b w:val="0"/>
        </w:rPr>
        <w:t>13. Politische Anschlussfähigkeit und Umsetzungsoptionen</w:t>
      </w:r>
    </w:p>
    <w:p>
      <w:pPr>
        <w:spacing w:after="120" w:line="259" w:lineRule="auto"/>
      </w:pPr>
      <w:r>
        <w:rPr>
          <w:b w:val="0"/>
        </w:rPr>
        <w:t>14. Quellen und interne Bezugslinien</w:t>
      </w:r>
    </w:p>
    <w:p>
      <w:pPr>
        <w:spacing w:after="120" w:line="259" w:lineRule="auto"/>
      </w:pPr>
      <w:r>
        <w:rPr>
          <w:b w:val="0"/>
        </w:rPr>
        <w:t>15.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pStyle w:val="Heading1"/>
      </w:pPr>
      <w:r>
        <w:t>Buchanker Teil XVIII</w:t>
      </w:r>
    </w:p>
    <w:p>
      <w:pPr>
        <w:spacing w:after="120" w:line="259" w:lineRule="auto"/>
      </w:pPr>
      <w:r>
        <w:rPr>
          <w:b w:val="0"/>
        </w:rPr>
        <w:t>Der Buchanker liegt im Schlussteil der Arbeitsfassung 2026: Zukunftsbilder, Alltag 2035, Unternehmen 2035, Staat 2035, globale Ordnung 2050 und Schlussbild. Rang 22 übersetzt diesen Buchanker in Website, Download, Akademie, Toolkarten und politische Anschlussfähigkeit.</w:t>
      </w:r>
    </w:p>
    <w:p>
      <w:pPr>
        <w:pStyle w:val="Heading1"/>
      </w:pPr>
      <w:r>
        <w:t>Alltag 2035</w:t>
      </w:r>
    </w:p>
    <w:p>
      <w:pPr>
        <w:spacing w:after="120" w:line="259" w:lineRule="auto"/>
      </w:pPr>
      <w:r>
        <w:rPr>
          <w:b w:val="0"/>
        </w:rPr>
        <w:t>Alltag 2035 beschreibt keine perfekte Lebenswelt. Es beschreibt eine Welt, in der Menschen nicht permanent gegen falsche Preise, intransparente Produkte, zerstörerische Mobilität, unfaire Wohnbedingungen, unsichtbare Care-Leistung und manipulative Informationsräume ankämpfen müssen.</w:t>
      </w:r>
    </w:p>
    <w:p>
      <w:pPr>
        <w:pStyle w:val="Heading1"/>
      </w:pPr>
      <w:r>
        <w:t>Unternehmen 2035</w:t>
      </w:r>
    </w:p>
    <w:p>
      <w:pPr>
        <w:spacing w:after="120" w:line="259" w:lineRule="auto"/>
      </w:pPr>
      <w:r>
        <w:rPr>
          <w:b w:val="0"/>
        </w:rPr>
        <w:t>Unternehmen 2035 beschreibt Organisationen, die Wirkung in Strategie, Governance, Controlling, Risiko, Kapitalzugang, Versicherung, Lieferketten, Produktentwicklung, Marketing und Führung integrieren. Bericht wird Ausgabe einer Steuerungslogik, nicht Selbstzweck.</w:t>
      </w:r>
    </w:p>
    <w:p>
      <w:pPr>
        <w:pStyle w:val="Heading1"/>
      </w:pPr>
      <w:r>
        <w:t>Staat 2035</w:t>
      </w:r>
    </w:p>
    <w:p>
      <w:pPr>
        <w:spacing w:after="120" w:line="259" w:lineRule="auto"/>
      </w:pPr>
      <w:r>
        <w:rPr>
          <w:b w:val="0"/>
        </w:rPr>
        <w:t>Staat 2035 beschreibt öffentliche Institutionen, die Wirkungshaushalte, Beschaffung, Beteiligung, Rechtsschutz, Resilienz, digitale Datenräume und Prävention nutzen, ohne demokratische Konflikte durch Technik zu ersetzen.</w:t>
      </w:r>
    </w:p>
    <w:p>
      <w:pPr>
        <w:pStyle w:val="Heading1"/>
      </w:pPr>
      <w:r>
        <w:t>Globale Ordnung 2050</w:t>
      </w:r>
    </w:p>
    <w:p>
      <w:pPr>
        <w:spacing w:after="120" w:line="259" w:lineRule="auto"/>
      </w:pPr>
      <w:r>
        <w:rPr>
          <w:b w:val="0"/>
        </w:rPr>
        <w:t>Globale Ordnung 2050 ist keine Weltregierung. Sie ist eine Ordnung gemeinsamer Rückkopplung: Wirkungspartnerschaften, faire Lieferketten, Ressourcenfairness, Klimagerechtigkeit, globale Resilienz, kulturelle Übersetzung und gemeinsame Datenstandards.</w:t>
      </w:r>
    </w:p>
    <w:p>
      <w:pPr>
        <w:pStyle w:val="Heading1"/>
      </w:pPr>
      <w:r>
        <w:t>Wirkungswohlstand</w:t>
      </w:r>
    </w:p>
    <w:p>
      <w:pPr>
        <w:spacing w:after="120" w:line="259" w:lineRule="auto"/>
      </w:pPr>
      <w:r>
        <w:rPr>
          <w:b w:val="0"/>
        </w:rPr>
        <w:t>Wirkungswohlstand misst nicht nur Geldmenge, Konsumvolumen, Marktwert oder BIP. Er fragt, ob Lebensbedingungen tragfähiger werden. Weniger Krankheit, Angst, Reparaturbürokratie, Desinformation, Wegwerfware und riskante Kapitalflüsse können mehr Wohlstand bedeuten.</w:t>
      </w:r>
    </w:p>
    <w:p>
      <w:pPr>
        <w:pStyle w:val="Heading1"/>
      </w:pPr>
      <w:r>
        <w:t>Grenzen</w:t>
      </w:r>
    </w:p>
    <w:p>
      <w:pPr>
        <w:spacing w:after="120" w:line="259" w:lineRule="auto"/>
      </w:pPr>
      <w:r>
        <w:rPr>
          <w:b w:val="0"/>
        </w:rPr>
        <w:t>Die Wirkungsökonomie darf nicht alles messen wollen. Sie darf Menschen nicht nach privater Lebensführung klassifizieren. Sie braucht Rechtsschutz, Datenschutz, offene Methoden, demokratische Kontrolle und klare rote Linien.</w:t>
      </w:r>
    </w:p>
    <w:p>
      <w:pPr>
        <w:pStyle w:val="Heading1"/>
      </w:pPr>
      <w:r>
        <w:t>Website- und Akademielogik</w:t>
      </w:r>
    </w:p>
    <w:p>
      <w:pPr>
        <w:spacing w:after="120" w:line="259" w:lineRule="auto"/>
      </w:pPr>
      <w:r>
        <w:rPr>
          <w:b w:val="0"/>
        </w:rPr>
        <w:t>Rang 22 bildet die Brücke zwischen Buchabschluss und öffentlicher Wirkungsökonomie-Praxis: als Portal, Dossier, Akademie-Modul, Zukunftswerkstatt, Toolsammlung und Downloadbereich.</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Gesamtdossier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