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Detailkonzept 1: Alltag 2035 und wirkungsfähiger Alltag</w:t>
      </w:r>
    </w:p>
    <w:p>
      <w:pPr>
        <w:jc w:val="center"/>
      </w:pPr>
      <w:r>
        <w:rPr>
          <w:color w:val="5A5A5A"/>
          <w:sz w:val="26"/>
        </w:rPr>
        <w:t>Wie Preise, Produkte, Wohnen, Mobilität, Energie, Ernährung, Bildung, Pflege und digitale Öffentlichkeit im Alltag anders wirken können.</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Executive Summary</w:t>
      </w:r>
    </w:p>
    <w:p>
      <w:pPr>
        <w:spacing w:after="120" w:line="259" w:lineRule="auto"/>
      </w:pPr>
      <w:r>
        <w:rPr>
          <w:b w:val="0"/>
        </w:rPr>
        <w:t>4. Ausgangslage und Problemstellung</w:t>
      </w:r>
    </w:p>
    <w:p>
      <w:pPr>
        <w:spacing w:after="120" w:line="259" w:lineRule="auto"/>
      </w:pPr>
      <w:r>
        <w:rPr>
          <w:b w:val="0"/>
        </w:rPr>
        <w:t>5. Wirkungslogik</w:t>
      </w:r>
    </w:p>
    <w:p>
      <w:pPr>
        <w:spacing w:after="120" w:line="259" w:lineRule="auto"/>
      </w:pPr>
      <w:r>
        <w:rPr>
          <w:b w:val="0"/>
        </w:rPr>
        <w:t>6. Wirkungspfade erster, zweiter und dritter Ordnung</w:t>
      </w:r>
    </w:p>
    <w:p>
      <w:pPr>
        <w:spacing w:after="120" w:line="259" w:lineRule="auto"/>
      </w:pPr>
      <w:r>
        <w:rPr>
          <w:b w:val="0"/>
        </w:rPr>
        <w:t>7. Beispiel und Anwendung</w:t>
      </w:r>
    </w:p>
    <w:p>
      <w:pPr>
        <w:spacing w:after="120" w:line="259" w:lineRule="auto"/>
      </w:pPr>
      <w:r>
        <w:rPr>
          <w:b w:val="0"/>
        </w:rPr>
        <w:t>8. Daten und Indikatoren</w:t>
      </w:r>
    </w:p>
    <w:p>
      <w:pPr>
        <w:spacing w:after="120" w:line="259" w:lineRule="auto"/>
      </w:pPr>
      <w:r>
        <w:rPr>
          <w:b w:val="0"/>
        </w:rPr>
        <w:t>9. Umsetzungsschritte</w:t>
      </w:r>
    </w:p>
    <w:p>
      <w:pPr>
        <w:spacing w:after="120" w:line="259" w:lineRule="auto"/>
      </w:pPr>
      <w:r>
        <w:rPr>
          <w:b w:val="0"/>
        </w:rPr>
        <w:t>10. Zielkonflikte und Schutzmechanismen</w:t>
      </w:r>
    </w:p>
    <w:p>
      <w:pPr>
        <w:spacing w:after="120" w:line="259" w:lineRule="auto"/>
      </w:pPr>
      <w:r>
        <w:rPr>
          <w:b w:val="0"/>
        </w:rPr>
        <w:t>11. Politische Anschlussfähigkeit</w:t>
      </w:r>
    </w:p>
    <w:p>
      <w:pPr>
        <w:spacing w:after="120" w:line="259" w:lineRule="auto"/>
      </w:pPr>
      <w:r>
        <w:rPr>
          <w:b w:val="0"/>
        </w:rPr>
        <w:t>12. Fazit</w:t>
      </w:r>
    </w:p>
    <w:p>
      <w:pPr>
        <w:spacing w:after="120" w:line="259" w:lineRule="auto"/>
      </w:pPr>
      <w:r>
        <w:rPr>
          <w:b w:val="0"/>
        </w:rPr>
        <w:t>13. SDG- und SDG+-Bezug</w:t>
      </w:r>
    </w:p>
    <w:p>
      <w:pPr>
        <w:spacing w:after="120" w:line="259" w:lineRule="auto"/>
      </w:pPr>
      <w:r>
        <w:rPr>
          <w:b w:val="0"/>
        </w:rPr>
        <w:t>14. Politische Anschlussfähigkeit und Umsetzungsoptionen</w:t>
      </w:r>
    </w:p>
    <w:p>
      <w:pPr>
        <w:spacing w:after="120" w:line="259" w:lineRule="auto"/>
      </w:pPr>
      <w:r>
        <w:rPr>
          <w:b w:val="0"/>
        </w:rPr>
        <w:t>15. Quellen und interne Bezugslinien</w:t>
      </w:r>
    </w:p>
    <w:p>
      <w:pPr>
        <w:spacing w:after="120" w:line="259" w:lineRule="auto"/>
      </w:pPr>
      <w:r>
        <w:rPr>
          <w:b w:val="0"/>
        </w:rPr>
        <w:t>16.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Executive Summary</w:t>
      </w:r>
    </w:p>
    <w:p>
      <w:pPr>
        <w:spacing w:after="120" w:line="259" w:lineRule="auto"/>
      </w:pPr>
      <w:r>
        <w:rPr>
          <w:b w:val="0"/>
        </w:rPr>
        <w:t>Alltag 2035 und wirkungsfähiger Alltag ist ein Detailkonzept innerhalb von Rang 22. Es konkretisiert Wie Preise, Produkte, Wohnen, Mobilität, Energie, Ernährung, Bildung, Pflege und digitale Öffentlichkeit im Alltag anders wirken können.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Pr>
        <w:pStyle w:val="Heading1"/>
      </w:pPr>
      <w:r>
        <w:t>Ausgangslage und Problemstellung</w:t>
      </w:r>
    </w:p>
    <w:p>
      <w:pPr>
        <w:spacing w:after="120" w:line="259" w:lineRule="auto"/>
      </w:pPr>
      <w:r>
        <w:rPr>
          <w:b w:val="0"/>
        </w:rP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Pr>
        <w:pStyle w:val="Heading1"/>
      </w:pPr>
      <w:r>
        <w:t>Wirkungslogik</w:t>
      </w:r>
    </w:p>
    <w:p>
      <w:pPr>
        <w:spacing w:after="120" w:line="259" w:lineRule="auto"/>
      </w:pPr>
      <w:r>
        <w:rPr>
          <w:b w:val="0"/>
        </w:rP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Pr>
        <w:pStyle w:val="Heading1"/>
      </w:pPr>
      <w:r>
        <w:t>Wirkungspfade erster, zweiter und dritter Ordnung</w:t>
      </w:r>
    </w:p>
    <w:p>
      <w:pPr>
        <w:spacing w:after="120" w:line="259" w:lineRule="auto"/>
      </w:pPr>
      <w:r>
        <w:rPr>
          <w:b w:val="0"/>
        </w:rP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Pr>
        <w:pStyle w:val="Heading1"/>
      </w:pPr>
      <w:r>
        <w:t>Beispiel und Anwendung</w:t>
      </w:r>
    </w:p>
    <w:p>
      <w:pPr>
        <w:spacing w:after="120" w:line="259" w:lineRule="auto"/>
      </w:pPr>
      <w:r>
        <w:rPr>
          <w:b w:val="0"/>
        </w:rP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Pr>
        <w:pStyle w:val="Heading1"/>
      </w:pPr>
      <w:r>
        <w:t>Daten und Indikatoren</w:t>
      </w:r>
    </w:p>
    <w:p>
      <w:pPr>
        <w:spacing w:after="120" w:line="259" w:lineRule="auto"/>
      </w:pPr>
      <w:r>
        <w:rPr>
          <w:b w:val="0"/>
        </w:rP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Pr>
        <w:pStyle w:val="Heading1"/>
      </w:pPr>
      <w:r>
        <w:t>Umsetzungsschritte</w:t>
      </w:r>
    </w:p>
    <w:p>
      <w:pPr>
        <w:spacing w:after="120" w:line="259" w:lineRule="auto"/>
      </w:pPr>
      <w:r>
        <w:rPr>
          <w:b w:val="0"/>
        </w:rP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Pr>
        <w:pStyle w:val="Heading1"/>
      </w:pPr>
      <w:r>
        <w:t>Zielkonflikte und Schutzmechanismen</w:t>
      </w:r>
    </w:p>
    <w:p>
      <w:pPr>
        <w:spacing w:after="120" w:line="259" w:lineRule="auto"/>
      </w:pPr>
      <w:r>
        <w:rPr>
          <w:b w:val="0"/>
        </w:rP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Pr>
        <w:pStyle w:val="Heading1"/>
      </w:pPr>
      <w:r>
        <w:t>Politische Anschlussfähigkeit</w:t>
      </w:r>
    </w:p>
    <w:p>
      <w:pPr>
        <w:spacing w:after="120" w:line="259" w:lineRule="auto"/>
      </w:pPr>
      <w:r>
        <w:rPr>
          <w:b w:val="0"/>
        </w:rP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Pr>
        <w:pStyle w:val="Heading1"/>
      </w:pPr>
      <w:r>
        <w:t>Fazit</w:t>
      </w:r>
    </w:p>
    <w:p>
      <w:pPr>
        <w:spacing w:after="120" w:line="259" w:lineRule="auto"/>
      </w:pPr>
      <w:r>
        <w:rPr>
          <w:b w:val="0"/>
        </w:rP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Detailkonzept 1: Alltag 2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