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2: Unternehmen 2035 und wirkungsorientierte Führung</w:t>
      </w:r>
    </w:p>
    <w:p>
      <w:pPr>
        <w:jc w:val="center"/>
      </w:pPr>
      <w:r>
        <w:rPr>
          <w:color w:val="5A5A5A"/>
          <w:sz w:val="26"/>
        </w:rPr>
        <w:t>Wie Unternehmen nicht nur nach KPI, sondern nach Wirkung, Risiko, Kapitalzugang, Lieferketten, Produktportfolios und Managementrückkopplung steuern.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Unternehmen 2035 und wirkungsorientierte Führung ist ein Detailkonzept innerhalb von Rang 22. Es konkretisiert Wie Unternehmen nicht nur nach KPI, sondern nach Wirkung, Risiko, Kapitalzugang, Lieferketten, Produktportfolios und Managementrückkopplung steuern.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2: Unterneh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