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3: Staat 2035, Wirkungshaushalt und lernende Verwaltung</w:t>
      </w:r>
    </w:p>
    <w:p>
      <w:pPr>
        <w:jc w:val="center"/>
      </w:pPr>
      <w:r>
        <w:rPr>
          <w:color w:val="5A5A5A"/>
          <w:sz w:val="26"/>
        </w:rPr>
        <w:t>Wie der Staat vom Programmverwalter zur Rückkopplungsarchitektur wird, ohne demokratische Kontrolle zu verlieren.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Staat 2035, Wirkungshaushalt und lernende Verwaltung ist ein Detailkonzept innerhalb von Rang 22. Es konkretisiert Wie der Staat vom Programmverwalter zur Rückkopplungsarchitektur wird, ohne demokratische Kontrolle zu verlieren.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3: Staat 20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