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A68439"/>
          <w:sz w:val="26"/>
        </w:rPr>
        <w:t>Wirkungsökonomie</w:t>
      </w:r>
    </w:p>
    <w:p/>
    <w:p>
      <w:pPr>
        <w:jc w:val="center"/>
      </w:pPr>
      <w:r>
        <w:rPr>
          <w:b/>
          <w:color w:val="0E3B43"/>
          <w:sz w:val="48"/>
        </w:rPr>
        <w:t>WOeK Rang 22 - Detailkonzept 5: Wirkungswohlstand und Wohlstand ohne Zerstörung</w:t>
      </w:r>
    </w:p>
    <w:p>
      <w:pPr>
        <w:jc w:val="center"/>
      </w:pPr>
      <w:r>
        <w:rPr>
          <w:color w:val="5A5A5A"/>
          <w:sz w:val="26"/>
        </w:rPr>
        <w:t>Warum Wohlstand als Systemzustand gelesen wird und weniger Verlustleistung mehr Wohlstand bedeuten kann.</w:t>
      </w:r>
    </w:p>
    <w:p/>
    <w:tbl>
      <w:tblPr>
        <w:tblW w:type="auto" w:w="0"/>
        <w:jc w:val="center"/>
        <w:tblLook w:firstColumn="1" w:firstRow="1" w:lastColumn="0" w:lastRow="0" w:noHBand="0" w:noVBand="1" w:val="04A0"/>
      </w:tblPr>
      <w:tblGrid>
        <w:gridCol w:w="4986"/>
        <w:gridCol w:w="4986"/>
      </w:tblGrid>
      <w:tr>
        <w:tc>
          <w:tcPr>
            <w:tcW w:type="dxa" w:w="4986"/>
            <w:shd w:fill="EAF3F3"/>
          </w:tcPr>
          <w:p>
            <w:r>
              <w:t>Autorin</w:t>
            </w:r>
          </w:p>
        </w:tc>
        <w:tc>
          <w:tcPr>
            <w:tcW w:type="dxa" w:w="4986"/>
          </w:tcPr>
          <w:p>
            <w:r>
              <w:t>Natalie Weber</w:t>
            </w:r>
          </w:p>
        </w:tc>
      </w:tr>
      <w:tr>
        <w:tc>
          <w:tcPr>
            <w:tcW w:type="dxa" w:w="4986"/>
            <w:shd w:fill="EAF3F3"/>
          </w:tcPr>
          <w:p>
            <w:r>
              <w:t>Referenz</w:t>
            </w:r>
          </w:p>
        </w:tc>
        <w:tc>
          <w:tcPr>
            <w:tcW w:type="dxa" w:w="4986"/>
          </w:tcPr>
          <w:p>
            <w:r>
              <w:t>Wirkungsökonomie</w:t>
            </w:r>
          </w:p>
        </w:tc>
      </w:tr>
      <w:tr>
        <w:tc>
          <w:tcPr>
            <w:tcW w:type="dxa" w:w="4986"/>
            <w:shd w:fill="EAF3F3"/>
          </w:tcPr>
          <w:p>
            <w:r>
              <w:t>Version</w:t>
            </w:r>
          </w:p>
        </w:tc>
        <w:tc>
          <w:tcPr>
            <w:tcW w:type="dxa" w:w="4986"/>
          </w:tcPr>
          <w:p>
            <w:r>
              <w:t>1.0</w:t>
            </w:r>
          </w:p>
        </w:tc>
      </w:tr>
      <w:tr>
        <w:tc>
          <w:tcPr>
            <w:tcW w:type="dxa" w:w="4986"/>
            <w:shd w:fill="EAF3F3"/>
          </w:tcPr>
          <w:p>
            <w:r>
              <w:t>Stand</w:t>
            </w:r>
          </w:p>
        </w:tc>
        <w:tc>
          <w:tcPr>
            <w:tcW w:type="dxa" w:w="4986"/>
          </w:tcPr>
          <w:p>
            <w:r>
              <w:t>Mai 2026</w:t>
            </w:r>
          </w:p>
        </w:tc>
      </w:tr>
      <w:tr>
        <w:tc>
          <w:tcPr>
            <w:tcW w:type="dxa" w:w="4986"/>
            <w:shd w:fill="EAF3F3"/>
          </w:tcPr>
          <w:p>
            <w:r>
              <w:t>Status</w:t>
            </w:r>
          </w:p>
        </w:tc>
        <w:tc>
          <w:tcPr>
            <w:tcW w:type="dxa" w:w="4986"/>
          </w:tcPr>
          <w:p>
            <w:r>
              <w:t>Langfassungsentwurf für Website, Download und Akademie</w:t>
            </w:r>
          </w:p>
        </w:tc>
      </w:tr>
      <w:tr>
        <w:tc>
          <w:tcPr>
            <w:tcW w:type="dxa" w:w="4986"/>
            <w:shd w:fill="EAF3F3"/>
          </w:tcPr>
          <w:p>
            <w:r>
              <w:t>Dokumenttyp</w:t>
            </w:r>
          </w:p>
        </w:tc>
        <w:tc>
          <w:tcPr>
            <w:tcW w:type="dxa" w:w="4986"/>
          </w:tcPr>
          <w:p>
            <w:r>
              <w:t>Rang 22 Download</w:t>
            </w:r>
          </w:p>
        </w:tc>
      </w:tr>
    </w:tbl>
    <w:p>
      <w:r>
        <w:br w:type="page"/>
      </w:r>
    </w:p>
    <w:p>
      <w:pPr>
        <w:pStyle w:val="Heading1"/>
      </w:pPr>
      <w:r>
        <w:t>Inhaltsverzeichnis</w:t>
      </w:r>
    </w:p>
    <w:p>
      <w:pPr>
        <w:spacing w:after="120" w:line="259" w:lineRule="auto"/>
      </w:pPr>
      <w:r>
        <w:rPr>
          <w:b w:val="0"/>
        </w:rPr>
        <w:t>1. Dokumentlogik</w:t>
      </w:r>
    </w:p>
    <w:p>
      <w:pPr>
        <w:spacing w:after="120" w:line="259" w:lineRule="auto"/>
      </w:pPr>
      <w:r>
        <w:rPr>
          <w:b w:val="0"/>
        </w:rPr>
        <w:t>2. Kurzfassung</w:t>
      </w:r>
    </w:p>
    <w:p>
      <w:pPr>
        <w:spacing w:after="120" w:line="259" w:lineRule="auto"/>
      </w:pPr>
      <w:r>
        <w:rPr>
          <w:b w:val="0"/>
        </w:rPr>
        <w:t>3. Executive Summary</w:t>
      </w:r>
    </w:p>
    <w:p>
      <w:pPr>
        <w:spacing w:after="120" w:line="259" w:lineRule="auto"/>
      </w:pPr>
      <w:r>
        <w:rPr>
          <w:b w:val="0"/>
        </w:rPr>
        <w:t>4. Ausgangslage und Problemstellung</w:t>
      </w:r>
    </w:p>
    <w:p>
      <w:pPr>
        <w:spacing w:after="120" w:line="259" w:lineRule="auto"/>
      </w:pPr>
      <w:r>
        <w:rPr>
          <w:b w:val="0"/>
        </w:rPr>
        <w:t>5. Wirkungslogik</w:t>
      </w:r>
    </w:p>
    <w:p>
      <w:pPr>
        <w:spacing w:after="120" w:line="259" w:lineRule="auto"/>
      </w:pPr>
      <w:r>
        <w:rPr>
          <w:b w:val="0"/>
        </w:rPr>
        <w:t>6. Wirkungspfade erster, zweiter und dritter Ordnung</w:t>
      </w:r>
    </w:p>
    <w:p>
      <w:pPr>
        <w:spacing w:after="120" w:line="259" w:lineRule="auto"/>
      </w:pPr>
      <w:r>
        <w:rPr>
          <w:b w:val="0"/>
        </w:rPr>
        <w:t>7. Beispiel und Anwendung</w:t>
      </w:r>
    </w:p>
    <w:p>
      <w:pPr>
        <w:spacing w:after="120" w:line="259" w:lineRule="auto"/>
      </w:pPr>
      <w:r>
        <w:rPr>
          <w:b w:val="0"/>
        </w:rPr>
        <w:t>8. Daten und Indikatoren</w:t>
      </w:r>
    </w:p>
    <w:p>
      <w:pPr>
        <w:spacing w:after="120" w:line="259" w:lineRule="auto"/>
      </w:pPr>
      <w:r>
        <w:rPr>
          <w:b w:val="0"/>
        </w:rPr>
        <w:t>9. Umsetzungsschritte</w:t>
      </w:r>
    </w:p>
    <w:p>
      <w:pPr>
        <w:spacing w:after="120" w:line="259" w:lineRule="auto"/>
      </w:pPr>
      <w:r>
        <w:rPr>
          <w:b w:val="0"/>
        </w:rPr>
        <w:t>10. Zielkonflikte und Schutzmechanismen</w:t>
      </w:r>
    </w:p>
    <w:p>
      <w:pPr>
        <w:spacing w:after="120" w:line="259" w:lineRule="auto"/>
      </w:pPr>
      <w:r>
        <w:rPr>
          <w:b w:val="0"/>
        </w:rPr>
        <w:t>11. Politische Anschlussfähigkeit</w:t>
      </w:r>
    </w:p>
    <w:p>
      <w:pPr>
        <w:spacing w:after="120" w:line="259" w:lineRule="auto"/>
      </w:pPr>
      <w:r>
        <w:rPr>
          <w:b w:val="0"/>
        </w:rPr>
        <w:t>12. Fazit</w:t>
      </w:r>
    </w:p>
    <w:p>
      <w:pPr>
        <w:spacing w:after="120" w:line="259" w:lineRule="auto"/>
      </w:pPr>
      <w:r>
        <w:rPr>
          <w:b w:val="0"/>
        </w:rPr>
        <w:t>13. SDG- und SDG+-Bezug</w:t>
      </w:r>
    </w:p>
    <w:p>
      <w:pPr>
        <w:spacing w:after="120" w:line="259" w:lineRule="auto"/>
      </w:pPr>
      <w:r>
        <w:rPr>
          <w:b w:val="0"/>
        </w:rPr>
        <w:t>14. Politische Anschlussfähigkeit und Umsetzungsoptionen</w:t>
      </w:r>
    </w:p>
    <w:p>
      <w:pPr>
        <w:spacing w:after="120" w:line="259" w:lineRule="auto"/>
      </w:pPr>
      <w:r>
        <w:rPr>
          <w:b w:val="0"/>
        </w:rPr>
        <w:t>15. Quellen und interne Bezugslinien</w:t>
      </w:r>
    </w:p>
    <w:p>
      <w:pPr>
        <w:spacing w:after="120" w:line="259" w:lineRule="auto"/>
      </w:pPr>
      <w:r>
        <w:rPr>
          <w:b w:val="0"/>
        </w:rPr>
        <w:t>16. Onlinefassung und Download</w:t>
      </w:r>
    </w:p>
    <w:p>
      <w:r>
        <w:br w:type="page"/>
      </w:r>
    </w:p>
    <w:p>
      <w:pPr>
        <w:pStyle w:val="Heading1"/>
      </w:pPr>
      <w:r>
        <w:t>Dokumentlogik</w:t>
      </w:r>
    </w:p>
    <w:p>
      <w:pPr>
        <w:spacing w:after="120" w:line="259" w:lineRule="auto"/>
      </w:pPr>
      <w:r>
        <w:rPr>
          <w:b w:val="0"/>
        </w:rPr>
        <w:t>Wirkung wird in diesem Paket neutral und relational verwendet. Wirkung ist die tatsächliche Veränderung von Zuständen. Sie kann positiv, negativ oder neutral sein und braucht immer Bezugspunkt, Zeitraum, Systemebene und Referenzrahmen. Bewertet wird am Referenzrahmen der SDGs, der Agenda 2030 und SDG+. Ziel der Wirkungsökonomie ist positive Netto-Wirkung für Mensch, Planet und Demokratie. SDG+ ist keine UN-Kategorie, sondern eine transparente Erweiterung der Wirkungsökonomie für Demokratie, Medienqualität, Rechtsstaatlichkeit, Diskursfähigkeit, institutionelles Vertrauen, gesellschaftlichen Zusammenhalt und digitale Selbstbestimmung.</w:t>
      </w:r>
    </w:p>
    <w:p>
      <w:pPr>
        <w:pStyle w:val="Heading1"/>
      </w:pPr>
      <w:r>
        <w:t>Kurzfassung</w:t>
      </w:r>
    </w:p>
    <w:p>
      <w:pPr>
        <w:spacing w:after="120" w:line="259" w:lineRule="auto"/>
      </w:pPr>
      <w:r>
        <w:rPr>
          <w:b w:val="0"/>
        </w:rPr>
        <w:t>Rang 22 übersetzt die Wirkungsökonomie in Zukunftsbilder. Zukunftsbilder sind keine Vorhersagen, keine Utopien und keine Garantie. Sie beschreiben mögliche Zustände, wenn Wirkung tatsächlich in Alltag, Unternehmen, Staat, Kapital, Medien, Bildung, Wohnen, Gesundheit, globale Kooperation und demokratische Korrektur zurückgekoppelt wird. Der Rang bildet damit den Schlussteil der Portalarchitektur: Nach Daten, Recht, Kritik und Umsetzung geht es darum, wie eine Gesellschaft aussehen kann, die nicht mehr nach Kapital als letztem Kompass steuert, sondern nach positiver Netto-Wirkung.</w:t>
      </w:r>
    </w:p>
    <w:p>
      <w:pPr>
        <w:spacing w:after="120" w:line="259" w:lineRule="auto"/>
      </w:pPr>
      <w:r>
        <w:rPr>
          <w:b w:val="0"/>
        </w:rPr>
        <w:t>Dieses Dokument dient als Website-Onlinefassung, Downloadgrundlage und Baustein der Fachbibliothek. Es ersetzt keine demokratische Entscheidung. Es macht Wirkpfade, Zielkonflikte, Datenbedarfe und Umsetzungsoptionen sichtbar.</w:t>
      </w:r>
    </w:p>
    <w:p>
      <w:pPr>
        <w:pStyle w:val="Heading1"/>
      </w:pPr>
      <w:r>
        <w:t>Executive Summary</w:t>
      </w:r>
    </w:p>
    <w:p>
      <w:pPr>
        <w:spacing w:after="120" w:line="259" w:lineRule="auto"/>
      </w:pPr>
      <w:r>
        <w:rPr>
          <w:b w:val="0"/>
        </w:rPr>
        <w:t>Wirkungswohlstand und Wohlstand ohne Zerstörung ist ein Detailkonzept innerhalb von Rang 22. Es konkretisiert Warum Wohlstand als Systemzustand gelesen wird und weniger Verlustleistung mehr Wohlstand bedeuten kann. Das Konzept beschreibt keine perfekte Zukunft, sondern einen prüfbaren Wirkungsraum. Es zeigt, welche Zustände sich verbessern können, welche Zielkonflikte entstehen, welche Daten benötigt werden und welche politischen sowie organisatorischen Rückkopplungen notwendig sind.</w:t>
      </w:r>
    </w:p>
    <w:p>
      <w:pPr>
        <w:pStyle w:val="Heading1"/>
      </w:pPr>
      <w:r>
        <w:t>Ausgangslage und Problemstellung</w:t>
      </w:r>
    </w:p>
    <w:p>
      <w:pPr>
        <w:spacing w:after="120" w:line="259" w:lineRule="auto"/>
      </w:pPr>
      <w:r>
        <w:rPr>
          <w:b w:val="0"/>
        </w:rPr>
        <w:t>Zukunft wird häufig entweder als Bedrohung oder als Verheißung beschrieben. Beide Formen greifen zu kurz. Eine wirkungsökonomische Zukunftsperspektive fragt nicht zuerst, ob ein Bild optimistisch oder pessimistisch ist, sondern welche Systembedingungen es verändert. Entscheidend ist, ob Alltag, Unternehmen, Staat und globale Kooperation weniger wirkungsblind werden.</w:t>
      </w:r>
    </w:p>
    <w:p>
      <w:pPr>
        <w:pStyle w:val="Heading1"/>
      </w:pPr>
      <w:r>
        <w:t>Wirkungslogik</w:t>
      </w:r>
    </w:p>
    <w:p>
      <w:pPr>
        <w:spacing w:after="120" w:line="259" w:lineRule="auto"/>
      </w:pPr>
      <w:r>
        <w:rPr>
          <w:b w:val="0"/>
        </w:rPr>
        <w:t>Die Wirkungslogik dieses Detailkonzepts unterscheidet Wirkungspotenzial, eingetretene Wirkung, Nebenwirkung, Rückkopplung und Transformationswirkung. Eine Maßnahme gilt nicht schon deshalb als positiv, weil sie modern, digital, effizient oder wachstumsfördernd erscheint. Positiv ist sie nur, wenn sie auf SDGs, Agenda 2030 und SDG+ einzahlt und unter roten Linien positive Netto-Wirkung für Mensch, Planet und Demokratie erzeugt.</w:t>
      </w:r>
    </w:p>
    <w:p>
      <w:pPr>
        <w:pStyle w:val="Heading1"/>
      </w:pPr>
      <w:r>
        <w:t>Wirkungspfade erster, zweiter und dritter Ordnung</w:t>
      </w:r>
    </w:p>
    <w:p>
      <w:pPr>
        <w:spacing w:after="120" w:line="259" w:lineRule="auto"/>
      </w:pPr>
      <w:r>
        <w:rPr>
          <w:b w:val="0"/>
        </w:rPr>
        <w:t>Wirkungen erster Ordnung betreffen sichtbare Veränderungen, etwa Preise, Zugänge oder Informationen. Wirkungen zweiter Ordnung betreffen Verhalten, Investitionspfade, Vertrauen und soziale Stabilität. Wirkungen dritter Ordnung verändern Regeln, Standards, Erwartungsräume und künftige Entscheidungsstrukturen. Zukunftsbilder müssen alle drei Ordnungen lesen, sonst bleiben sie dekorative Erzählungen.</w:t>
      </w:r>
    </w:p>
    <w:p>
      <w:pPr>
        <w:pStyle w:val="Heading1"/>
      </w:pPr>
      <w:r>
        <w:t>Beispiel und Anwendung</w:t>
      </w:r>
    </w:p>
    <w:p>
      <w:pPr>
        <w:spacing w:after="120" w:line="259" w:lineRule="auto"/>
      </w:pPr>
      <w:r>
        <w:rPr>
          <w:b w:val="0"/>
        </w:rPr>
        <w:t>Ein Beispiel zeigt die Logik: Ein neues Produktlabel kann zunächst nur Information liefern. Wenn es mit Preis, Steuer, Beschaffung, Kapitalzugang und Verbraucherentlastung verbunden wird, entsteht Rückkopplung. Wenn Unternehmen deshalb ihr Produktportfolio umbauen und Kommunen ihre Beschaffung ändern, entsteht Transformationswirkung. Das Zukunftsbild wird dann nicht nur erzählt, sondern systemisch ermöglicht.</w:t>
      </w:r>
    </w:p>
    <w:p>
      <w:pPr>
        <w:pStyle w:val="Heading1"/>
      </w:pPr>
      <w:r>
        <w:t>Daten und Indikatoren</w:t>
      </w:r>
    </w:p>
    <w:p>
      <w:pPr>
        <w:spacing w:after="120" w:line="259" w:lineRule="auto"/>
      </w:pPr>
      <w:r>
        <w:rPr>
          <w:b w:val="0"/>
        </w:rPr>
        <w:t>Benötigt werden Daten zu Lebensqualität, Zugang, Gesundheit, Bildung, Wohnen, Mobilität, Energie, Produktwirkung, Kapitalwirkung, Vertrauen, Rechtsstaatlichkeit, Diskursqualität, Resilienz und ökologischer Regeneration. Wichtig ist: Daten dienen nicht der Kontrolle privater Lebensführung. Sie dienen der Bewertung von Systembedingungen, Programmen, Produkten, Infrastruktur und institutionellen Wirkungen.</w:t>
      </w:r>
    </w:p>
    <w:p>
      <w:pPr>
        <w:pStyle w:val="Heading1"/>
      </w:pPr>
      <w:r>
        <w:t>Umsetzungsschritte</w:t>
      </w:r>
    </w:p>
    <w:p>
      <w:pPr>
        <w:spacing w:after="120" w:line="259" w:lineRule="auto"/>
      </w:pPr>
      <w:r>
        <w:rPr>
          <w:b w:val="0"/>
        </w:rPr>
        <w:t>Die Umsetzung beginnt mit Pilotfeldern, klaren Baselines, offenen Methoden, verständlichen Dashboards, Beteiligung, rechtlicher Begrenzung und jährlicher Korrektur. Erst wenn eine Maßnahme messbar bessere Zustände erzeugt und Zielkonflikte transparent macht, kann sie skaliert werden.</w:t>
      </w:r>
    </w:p>
    <w:p>
      <w:pPr>
        <w:pStyle w:val="Heading1"/>
      </w:pPr>
      <w:r>
        <w:t>Zielkonflikte und Schutzmechanismen</w:t>
      </w:r>
    </w:p>
    <w:p>
      <w:pPr>
        <w:spacing w:after="120" w:line="259" w:lineRule="auto"/>
      </w:pPr>
      <w:r>
        <w:rPr>
          <w:b w:val="0"/>
        </w:rPr>
        <w:t>Zielkonflikte müssen offen benannt werden: Transparenz kann Datenschutz berühren, Lenkung kann als Bevormundung empfunden werden, Standardisierung kann kulturelle Unterschiede übersehen, schnelle Umsetzung kann demokratische Beteiligung verkürzen. Deshalb braucht jedes Zukunftsbild Rechtsschutz, Datenschutz, Widerspruchsmöglichkeiten, methodische Offenheit und unabhängige Prüfung.</w:t>
      </w:r>
    </w:p>
    <w:p>
      <w:pPr>
        <w:pStyle w:val="Heading1"/>
      </w:pPr>
      <w:r>
        <w:t>Politische Anschlussfähigkeit</w:t>
      </w:r>
    </w:p>
    <w:p>
      <w:pPr>
        <w:spacing w:after="120" w:line="259" w:lineRule="auto"/>
      </w:pPr>
      <w:r>
        <w:rPr>
          <w:b w:val="0"/>
        </w:rPr>
        <w:t>Parteien und Institutionen können aus diesem Detailkonzept unterschiedliche politische Wege ableiten. Die Wirkungsökonomie schreibt keine Parteipolitik vor. Sie verlangt nur, dass Programme nicht allein nach Symbolik, Kosten oder Ideologie beurteilt werden, sondern nach ihrer überprüfbaren Wirkung auf Mensch, Planet und Demokratie.</w:t>
      </w:r>
    </w:p>
    <w:p>
      <w:pPr>
        <w:pStyle w:val="Heading1"/>
      </w:pPr>
      <w:r>
        <w:t>Fazit</w:t>
      </w:r>
    </w:p>
    <w:p>
      <w:pPr>
        <w:spacing w:after="120" w:line="259" w:lineRule="auto"/>
      </w:pPr>
      <w:r>
        <w:rPr>
          <w:b w:val="0"/>
        </w:rPr>
        <w:t>Das Detailkonzept macht Zukunft nicht sicher. Es macht sie gestaltbarer. Es ersetzt weder Streit noch Entscheidung. Es liefert einen Rahmen, in dem Zukunftsbilder nicht bloße Versprechen bleiben, sondern als Wirkungspfade, Risiken, Daten, Schutzmechanismen und Rückkopplungen bearbeitet werden können.</w:t>
      </w:r>
    </w:p>
    <w:p>
      <w:pPr>
        <w:pStyle w:val="Heading1"/>
      </w:pPr>
      <w:r>
        <w:t>SDG- und SDG+-Bezug</w:t>
      </w:r>
    </w:p>
    <w:p>
      <w:pPr>
        <w:spacing w:after="120" w:line="259" w:lineRule="auto"/>
      </w:pPr>
      <w:r>
        <w:rPr>
          <w:b w:val="0"/>
        </w:rPr>
        <w:t>Rang 22 arbeitet mit den SDGs als internationalem Referenzrahmen und mit SDG+ als transparenter Erweiterung der Wirkungsökonomie. SDG+ ist keine UN-Kategorie, sondern ergänzt Demokratie, Medienqualität, Rechtsstaatlichkeit, Diskursfähigkeit, institutionelles Vertrauen, gesellschaftlichen Zusammenhalt und digitale Selbstbestimmung.</w:t>
      </w:r>
    </w:p>
    <w:p>
      <w:pPr>
        <w:pStyle w:val="Heading2"/>
      </w:pPr>
      <w:r>
        <w:t>SDG 1 - Keine Armut</w:t>
      </w:r>
    </w:p>
    <w:p>
      <w:pPr>
        <w:spacing w:after="120" w:line="259" w:lineRule="auto"/>
      </w:pPr>
      <w:r>
        <w:rPr>
          <w:b w:val="0"/>
        </w:rPr>
        <w:t>Wirkungswohlstand darf nicht auf Ausschluss beruhen. Armut wird als Zustandsveränderung in Teilhabe, Sicherheit, Gesundheit, Bildung, Wohnen und Selbstwirksamkeit betrachtet.</w:t>
      </w:r>
    </w:p>
    <w:p>
      <w:pPr>
        <w:pStyle w:val="Heading2"/>
      </w:pPr>
      <w:r>
        <w:t>SDG 3 - Gesundheit und Wohlergehen</w:t>
      </w:r>
    </w:p>
    <w:p>
      <w:pPr>
        <w:spacing w:after="120" w:line="259" w:lineRule="auto"/>
      </w:pPr>
      <w:r>
        <w:rPr>
          <w:b w:val="0"/>
        </w:rPr>
        <w:t>Zukunftsbilder prüfen, ob weniger Krankheit, weniger Angst, mehr Prävention, gute Pflege und bessere Lebensbedingungen entstehen.</w:t>
      </w:r>
    </w:p>
    <w:p>
      <w:pPr>
        <w:pStyle w:val="Heading2"/>
      </w:pPr>
      <w:r>
        <w:t>SDG 4 - Hochwertige Bildung</w:t>
      </w:r>
    </w:p>
    <w:p>
      <w:pPr>
        <w:spacing w:after="120" w:line="259" w:lineRule="auto"/>
      </w:pPr>
      <w:r>
        <w:rPr>
          <w:b w:val="0"/>
        </w:rPr>
        <w:t>Das Fach Zukunft, Wirkungskompetenz, Systemdenken und demokratische Medienkompetenz werden als Voraussetzungen einer lernfähigen Gesellschaft behandelt.</w:t>
      </w:r>
    </w:p>
    <w:p>
      <w:pPr>
        <w:pStyle w:val="Heading2"/>
      </w:pPr>
      <w:r>
        <w:t>SDG 8 - Menschenwürdige Arbeit</w:t>
      </w:r>
    </w:p>
    <w:p>
      <w:pPr>
        <w:spacing w:after="120" w:line="259" w:lineRule="auto"/>
      </w:pPr>
      <w:r>
        <w:rPr>
          <w:b w:val="0"/>
        </w:rPr>
        <w:t>Arbeit wird nicht nur als Erwerb, sondern als Wirkleistung gelesen. Automatisierung, Care, Bildung und sinnvolle Tätigkeiten brauchen neue Anerkennung.</w:t>
      </w:r>
    </w:p>
    <w:p>
      <w:pPr>
        <w:pStyle w:val="Heading2"/>
      </w:pPr>
      <w:r>
        <w:t>SDG 9 - Industrie, Innovation und Infrastruktur</w:t>
      </w:r>
    </w:p>
    <w:p>
      <w:pPr>
        <w:spacing w:after="120" w:line="259" w:lineRule="auto"/>
      </w:pPr>
      <w:r>
        <w:rPr>
          <w:b w:val="0"/>
        </w:rPr>
        <w:t>Innovation ist nicht Selbstzweck. Sie wird danach bewertet, ob sie Wirkung, Resilienz, Kreisläufe, Datenqualität und Zukunftsfähigkeit stärkt.</w:t>
      </w:r>
    </w:p>
    <w:p>
      <w:pPr>
        <w:pStyle w:val="Heading2"/>
      </w:pPr>
      <w:r>
        <w:t>SDG 10 - Weniger Ungleichheiten</w:t>
      </w:r>
    </w:p>
    <w:p>
      <w:pPr>
        <w:spacing w:after="120" w:line="259" w:lineRule="auto"/>
      </w:pPr>
      <w:r>
        <w:rPr>
          <w:b w:val="0"/>
        </w:rPr>
        <w:t>Zukunftsbilder müssen zeigen, ob Zugänge, Chancen, Schutz und Teilgabe breiter werden, statt neue Spaltungen zu erzeugen.</w:t>
      </w:r>
    </w:p>
    <w:p>
      <w:pPr>
        <w:pStyle w:val="Heading2"/>
      </w:pPr>
      <w:r>
        <w:t>SDG 11 - Nachhaltige Städte und Gemeinden</w:t>
      </w:r>
    </w:p>
    <w:p>
      <w:pPr>
        <w:spacing w:after="120" w:line="259" w:lineRule="auto"/>
      </w:pPr>
      <w:r>
        <w:rPr>
          <w:b w:val="0"/>
        </w:rPr>
        <w:t>Alltag 2035 beginnt in Quartieren: Wohnen, Mobilität, Energie, Gesundheit, Kultur und Beteiligung werden als lokale Wirkungsräume beschrieben.</w:t>
      </w:r>
    </w:p>
    <w:p>
      <w:pPr>
        <w:pStyle w:val="Heading2"/>
      </w:pPr>
      <w:r>
        <w:t>SDG 12 - Nachhaltiger Konsum und Produktion</w:t>
      </w:r>
    </w:p>
    <w:p>
      <w:pPr>
        <w:spacing w:after="120" w:line="259" w:lineRule="auto"/>
      </w:pPr>
      <w:r>
        <w:rPr>
          <w:b w:val="0"/>
        </w:rPr>
        <w:t>Ehrliche Preise, Produktwirkung, digitale Produktpässe und Verbraucherentlastung sind zentrale Bedingungen einer wirkungsfähigen Konsumordnung.</w:t>
      </w:r>
    </w:p>
    <w:p>
      <w:pPr>
        <w:pStyle w:val="Heading2"/>
      </w:pPr>
      <w:r>
        <w:t>SDG 13 - Klimaschutz</w:t>
      </w:r>
    </w:p>
    <w:p>
      <w:pPr>
        <w:spacing w:after="120" w:line="259" w:lineRule="auto"/>
      </w:pPr>
      <w:r>
        <w:rPr>
          <w:b w:val="0"/>
        </w:rPr>
        <w:t>Wohlstand ohne Zerstörung kann nicht auf Klimaschäden beruhen. Klimawirkung wird in Preise, Kapital, Infrastruktur und Alltag rückgekoppelt.</w:t>
      </w:r>
    </w:p>
    <w:p>
      <w:pPr>
        <w:pStyle w:val="Heading2"/>
      </w:pPr>
      <w:r>
        <w:t>SDG 16 - Frieden, Gerechtigkeit und starke Institutionen</w:t>
      </w:r>
    </w:p>
    <w:p>
      <w:pPr>
        <w:spacing w:after="120" w:line="259" w:lineRule="auto"/>
      </w:pPr>
      <w:r>
        <w:rPr>
          <w:b w:val="0"/>
        </w:rPr>
        <w:t>Demokratie, Rechtsschutz, Wahrheit, Vertrauen und Korrekturfähigkeit sind Kernbedingungen einer wirkungsfähigen Zukunft.</w:t>
      </w:r>
    </w:p>
    <w:p>
      <w:pPr>
        <w:pStyle w:val="Heading2"/>
      </w:pPr>
      <w:r>
        <w:t>SDG 17 - Partnerschaften</w:t>
      </w:r>
    </w:p>
    <w:p>
      <w:pPr>
        <w:spacing w:after="120" w:line="259" w:lineRule="auto"/>
      </w:pPr>
      <w:r>
        <w:rPr>
          <w:b w:val="0"/>
        </w:rPr>
        <w:t>Globale Ordnung 2050 wird als Ordnung der Kooperation, Übersetzung, Datenstandards und Wirkungspartnerschaften beschrieben, nicht als Weltregierung.</w:t>
      </w:r>
    </w:p>
    <w:p>
      <w:pPr>
        <w:pStyle w:val="Heading2"/>
      </w:pPr>
      <w:r>
        <w:t>SDG+-Dimensionen</w:t>
      </w:r>
    </w:p>
    <w:p>
      <w:pPr>
        <w:pStyle w:val="Heading3"/>
      </w:pPr>
      <w:r>
        <w:t>Demokratiequalität</w:t>
      </w:r>
    </w:p>
    <w:p>
      <w:pPr>
        <w:spacing w:after="120" w:line="259" w:lineRule="auto"/>
      </w:pPr>
      <w:r>
        <w:rPr>
          <w:b w:val="0"/>
        </w:rPr>
        <w:t>Zukunftsfähigkeit braucht Verfahren, die Macht begrenzen, Konflikte offen halten und Korrektur ermöglichen.</w:t>
      </w:r>
    </w:p>
    <w:p>
      <w:pPr>
        <w:pStyle w:val="Heading3"/>
      </w:pPr>
      <w:r>
        <w:t>Medienqualität</w:t>
      </w:r>
    </w:p>
    <w:p>
      <w:pPr>
        <w:spacing w:after="120" w:line="259" w:lineRule="auto"/>
      </w:pPr>
      <w:r>
        <w:rPr>
          <w:b w:val="0"/>
        </w:rPr>
        <w:t>Öffentliche Wahrheit, Quellenklarheit und Schutz vor Desinformation sind Infrastruktur, nicht bloße Meinung.</w:t>
      </w:r>
    </w:p>
    <w:p>
      <w:pPr>
        <w:pStyle w:val="Heading3"/>
      </w:pPr>
      <w:r>
        <w:t>Rechtsstaatlichkeit</w:t>
      </w:r>
    </w:p>
    <w:p>
      <w:pPr>
        <w:spacing w:after="120" w:line="259" w:lineRule="auto"/>
      </w:pPr>
      <w:r>
        <w:rPr>
          <w:b w:val="0"/>
        </w:rPr>
        <w:t>Wirkungslenkung bleibt begrenzt durch Grundrechte, Datenschutz, Gerichte, Parlament und Rechtsschutz.</w:t>
      </w:r>
    </w:p>
    <w:p>
      <w:pPr>
        <w:pStyle w:val="Heading3"/>
      </w:pPr>
      <w:r>
        <w:t>Diskursfähigkeit</w:t>
      </w:r>
    </w:p>
    <w:p>
      <w:pPr>
        <w:spacing w:after="120" w:line="259" w:lineRule="auto"/>
      </w:pPr>
      <w:r>
        <w:rPr>
          <w:b w:val="0"/>
        </w:rPr>
        <w:t>Zukunftsbilder dürfen nicht als moralische Überwältigung erscheinen. Sie brauchen Streitfähigkeit und Übersetzung.</w:t>
      </w:r>
    </w:p>
    <w:p>
      <w:pPr>
        <w:pStyle w:val="Heading3"/>
      </w:pPr>
      <w:r>
        <w:t>Institutionelles Vertrauen</w:t>
      </w:r>
    </w:p>
    <w:p>
      <w:pPr>
        <w:spacing w:after="120" w:line="259" w:lineRule="auto"/>
      </w:pPr>
      <w:r>
        <w:rPr>
          <w:b w:val="0"/>
        </w:rPr>
        <w:t>Vertrauen entsteht, wenn Politik Zustände verbessert, Fehler korrigiert und Zielkonflikte offenlegt.</w:t>
      </w:r>
    </w:p>
    <w:p>
      <w:pPr>
        <w:pStyle w:val="Heading3"/>
      </w:pPr>
      <w:r>
        <w:t>Gesellschaftlicher Zusammenhalt</w:t>
      </w:r>
    </w:p>
    <w:p>
      <w:pPr>
        <w:spacing w:after="120" w:line="259" w:lineRule="auto"/>
      </w:pPr>
      <w:r>
        <w:rPr>
          <w:b w:val="0"/>
        </w:rPr>
        <w:t>Wohlstand entsteht nicht nur aus Kaufkraft, sondern aus Beziehung, Sicherheit, Zugehörigkeit und Teilgabe.</w:t>
      </w:r>
    </w:p>
    <w:p>
      <w:pPr>
        <w:pStyle w:val="Heading3"/>
      </w:pPr>
      <w:r>
        <w:t>Digitale Selbstbestimmung</w:t>
      </w:r>
    </w:p>
    <w:p>
      <w:pPr>
        <w:spacing w:after="120" w:line="259" w:lineRule="auto"/>
      </w:pPr>
      <w:r>
        <w:rPr>
          <w:b w:val="0"/>
        </w:rPr>
        <w:t>Datenräume und Wirkungsscanner dürfen keine Personenüberwachung werden. Sie dienen Systemkorrektur, nicht Kontrolle von Menschen.</w:t>
      </w:r>
    </w:p>
    <w:p>
      <w:pPr>
        <w:pStyle w:val="Heading1"/>
      </w:pPr>
      <w:r>
        <w:t>Politische Anschlussfähigkeit und Umsetzungsoptionen</w:t>
      </w:r>
    </w:p>
    <w:p>
      <w:pPr>
        <w:pStyle w:val="Heading2"/>
      </w:pPr>
      <w:r>
        <w:t>Aufgabe der Politik</w:t>
      </w:r>
    </w:p>
    <w:p>
      <w:pPr>
        <w:spacing w:after="120" w:line="259" w:lineRule="auto"/>
      </w:pPr>
      <w:r>
        <w:rPr>
          <w:b w:val="0"/>
        </w:rPr>
        <w:t>Politik muss Zukunftsbilder nicht als Wahlversprechen verkaufen, sondern als prüfbare Orientierungsräume gestalten. Sie schafft Rahmenbedingungen, in denen bessere Wirkung wahrscheinlicher wird: durch ehrliche Preise, Wirkungshaushalte, Rechtsstaat, Bildung, Datenqualität, Schutz vor Missbrauch, soziale Abfederung und demokratische Rückkopplung.</w:t>
      </w:r>
    </w:p>
    <w:p>
      <w:pPr>
        <w:pStyle w:val="Heading2"/>
      </w:pPr>
      <w:r>
        <w:t>Politische Rahmenbedingungen</w:t>
      </w:r>
    </w:p>
    <w:p>
      <w:pPr>
        <w:spacing w:after="120" w:line="259" w:lineRule="auto"/>
      </w:pPr>
      <w:r>
        <w:rPr>
          <w:b w:val="0"/>
        </w:rPr>
        <w:t>Notwendig sind rechtssichere Wirkungsdaten, öffentliche Wirkungshaushalte, faire Übergänge, Pilotkommunen, transparente Beschaffung, digitale Produktpässe, Datenschutz, unabhängige Prüfung, öffentliche Debatte und ein Schutz vor technokratischer Verengung.</w:t>
      </w:r>
    </w:p>
    <w:p>
      <w:pPr>
        <w:pStyle w:val="Heading2"/>
      </w:pPr>
      <w:r>
        <w:t>Ausgestaltungsspielraum</w:t>
      </w:r>
    </w:p>
    <w:p>
      <w:pPr>
        <w:spacing w:after="120" w:line="259" w:lineRule="auto"/>
      </w:pPr>
      <w:r>
        <w:rPr>
          <w:b w:val="0"/>
        </w:rPr>
        <w:t>Die Wirkungsökonomie liefert keinen fertigen Parteiprogrammtext. Parteien behalten Ausgestaltungsspielraum bei Steuern, Sozialpolitik, Infrastruktur, Bildung, Wirtschaft, Außenpolitik, Klimaschutz, Digitalisierung und Kultur. Entscheidend ist die überprüfbare Wirkung auf Mensch, Planet und Demokratie.</w:t>
      </w:r>
    </w:p>
    <w:p>
      <w:pPr>
        <w:pStyle w:val="Heading2"/>
      </w:pPr>
      <w:r>
        <w:t>Zielkonflikte</w:t>
      </w:r>
    </w:p>
    <w:p>
      <w:pPr>
        <w:spacing w:after="120" w:line="259" w:lineRule="auto"/>
      </w:pPr>
      <w:r>
        <w:rPr>
          <w:b w:val="0"/>
        </w:rPr>
        <w:t>Zukunftsbilder enthalten Zielkonflikte: kurzfristige Belastung und langfristige Stabilität, Datenschutz und Transparenz, Markt und Lenkung, Freiheit und Verantwortung, lokale Akzeptanz und globale Verantwortung, Investitionsschutz und Transformation, Geschwindigkeit und demokratische Legitimation.</w:t>
      </w:r>
    </w:p>
    <w:p>
      <w:pPr>
        <w:pStyle w:val="Heading2"/>
      </w:pPr>
      <w:r>
        <w:t>Rollenverteilung</w:t>
      </w:r>
    </w:p>
    <w:p>
      <w:pPr>
        <w:spacing w:after="120" w:line="259" w:lineRule="auto"/>
      </w:pPr>
      <w:r>
        <w:rPr>
          <w:b w:val="0"/>
        </w:rPr>
        <w:t>Bund, Länder, Kommunen, Unternehmen, Wissenschaft, Medien, Zivilgesellschaft und Bürger:innen tragen unterschiedliche Rollen. Der Staat setzt Regeln und schützt Rechte. Unternehmen organisieren Wirkung. Wissenschaft prüft. Medien schaffen öffentliche Orientierung. Bürger:innen werden nicht bewertet, sondern als Co-Autor:innen der Systemwirkung ernst genommen.</w:t>
      </w:r>
    </w:p>
    <w:p>
      <w:pPr>
        <w:pStyle w:val="Heading2"/>
      </w:pPr>
      <w:r>
        <w:t>Übergang und Schutz</w:t>
      </w:r>
    </w:p>
    <w:p>
      <w:pPr>
        <w:spacing w:after="120" w:line="259" w:lineRule="auto"/>
      </w:pPr>
      <w:r>
        <w:rPr>
          <w:b w:val="0"/>
        </w:rPr>
        <w:t>Der Übergang braucht Pilotierung, soziale Abfederung, Kaufkraftschutz, Datenschutz, Rechtsschutz, offene Methoden, Versionierung, klare rote Linien und Korrekturschleifen. Eine Wirkungsökonomie, die Freiheit schwächt, hätte ihren Maßstab verfehlt.</w:t>
      </w:r>
    </w:p>
    <w:p>
      <w:pPr>
        <w:pStyle w:val="Heading2"/>
      </w:pPr>
      <w:r>
        <w:t>Evaluation und Korrektur</w:t>
      </w:r>
    </w:p>
    <w:p>
      <w:pPr>
        <w:spacing w:after="120" w:line="259" w:lineRule="auto"/>
      </w:pPr>
      <w:r>
        <w:rPr>
          <w:b w:val="0"/>
        </w:rPr>
        <w:t>Zukunftsbilder müssen überprüft werden: Welche Zustände verbessern sich? Welche Nebenwirkungen entstehen? Welche Gruppen werden belastet? Wo kippen Anreize? Welche Daten fehlen? Welche Wirkungspfade waren falsch? Korrektur ist Pflicht, nicht Nachtrag.</w:t>
      </w:r>
    </w:p>
    <w:p>
      <w:pPr>
        <w:pStyle w:val="Heading2"/>
      </w:pPr>
      <w:r>
        <w:t>Parteipolitische Anschlussfähigkeit</w:t>
      </w:r>
    </w:p>
    <w:p>
      <w:pPr>
        <w:spacing w:after="120" w:line="259" w:lineRule="auto"/>
      </w:pPr>
      <w:r>
        <w:rPr>
          <w:b w:val="0"/>
        </w:rPr>
        <w:t>Konservative, liberale, sozialdemokratische, grüne, linke und kommunale Ansätze können die Wirkungslogik unterschiedlich übersetzen. Die Wirkungsökonomie bewertet nicht Ideologie, sondern Folgen.</w:t>
      </w:r>
    </w:p>
    <w:p>
      <w:pPr>
        <w:pStyle w:val="Heading2"/>
      </w:pPr>
      <w:r>
        <w:t>Schutz vor Technokratie</w:t>
      </w:r>
    </w:p>
    <w:p>
      <w:pPr>
        <w:spacing w:after="120" w:line="259" w:lineRule="auto"/>
      </w:pPr>
      <w:r>
        <w:rPr>
          <w:b w:val="0"/>
        </w:rPr>
        <w:t>Wirkungsmessung ersetzt keine demokratische Entscheidung. Sie macht Folgen sichtbar. Politische Bewertung, Rechtsschutz, parlamentarische Kontrolle, Gerichte und öffentliche Debatte bleiben unverzichtbar.</w:t>
      </w:r>
    </w:p>
    <w:p>
      <w:pPr>
        <w:pStyle w:val="Heading1"/>
      </w:pPr>
      <w:r>
        <w:t>Quellen und interne Bezugslinien</w:t>
      </w:r>
    </w:p>
    <w:p>
      <w:pPr>
        <w:pStyle w:val="ListBullet"/>
        <w:spacing w:after="40"/>
      </w:pPr>
      <w:r>
        <w:t>Natalie Weber: Die neue Ordnung des Wohlstands. Arbeitsfassung 2026. Teil XVIII - Schluss, Ausblick und zivilisatorische Perspektive.</w:t>
      </w:r>
    </w:p>
    <w:p>
      <w:pPr>
        <w:pStyle w:val="ListBullet"/>
        <w:spacing w:after="40"/>
      </w:pPr>
      <w:r>
        <w:t>Natalie Weber: Führender Begriffsleitfaden der Wirkungsökonomie, Version 1.0, Stand 21. Mai 2026.</w:t>
      </w:r>
    </w:p>
    <w:p>
      <w:pPr>
        <w:pStyle w:val="ListBullet"/>
        <w:spacing w:after="40"/>
      </w:pPr>
      <w:r>
        <w:t>Natalie Weber: Grundlagenpapier Wirkungsökonomie WÖk, 2025.</w:t>
      </w:r>
    </w:p>
    <w:p>
      <w:pPr>
        <w:pStyle w:val="ListBullet"/>
        <w:spacing w:after="40"/>
      </w:pPr>
      <w:r>
        <w:t>Natalie Weber: Systemmodell der Wirkungsökonomie, 2025.</w:t>
      </w:r>
    </w:p>
    <w:p>
      <w:pPr>
        <w:pStyle w:val="ListBullet"/>
        <w:spacing w:after="40"/>
      </w:pPr>
      <w:r>
        <w:t>Vereinte Nationen: Agenda 2030 und Sustainable Development Goals.</w:t>
      </w:r>
    </w:p>
    <w:p>
      <w:pPr>
        <w:pStyle w:val="ListBullet"/>
        <w:spacing w:after="40"/>
      </w:pPr>
      <w:r>
        <w:t>Interne Wirkungsökonomie-Arbeitsfassung: Kapitel 107 - Zukunftsbilder und Kapitel 108 - Schlussbild: Die neue Ordnung des Wohlstands.</w:t>
      </w:r>
    </w:p>
    <w:p>
      <w:pPr>
        <w:pStyle w:val="Heading1"/>
      </w:pPr>
      <w:r>
        <w:t>Onlinefassung und Download</w:t>
      </w:r>
    </w:p>
    <w:p>
      <w:pPr>
        <w:spacing w:after="120" w:line="259" w:lineRule="auto"/>
      </w:pPr>
      <w:r>
        <w:rPr>
          <w:b w:val="0"/>
        </w:rPr>
        <w:t>Dieses Dokument ist für eine vollständige Onlinefassung und als PDF- sowie DOCX-Download vorgesehen. In der Website-Integration müssen beide Dateiformate sichtbar verlinkt werden.</w:t>
      </w:r>
    </w:p>
    <w:sectPr w:rsidR="00FC693F" w:rsidRPr="0006063C" w:rsidSect="00034616">
      <w:footerReference w:type="default" r:id="rId9"/>
      <w:pgSz w:w="12240" w:h="15840"/>
      <w:pgMar w:top="1020" w:right="1134" w:bottom="90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5A5A5A"/>
        <w:sz w:val="16"/>
      </w:rPr>
      <w:t>Natalie Weber | Wirkungsökonomie | WOeK Rang 22 - Detailkonzept 5: Wirkungs | Version 1.0 | Stand Mai 2026</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eastAsia="Arial"/>
      <w:sz w:val="19"/>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eastAsia="Arial"/>
      <w:b/>
      <w:bCs/>
      <w:color w:val="0E3B43"/>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eastAsia="Arial"/>
      <w:b/>
      <w:bCs/>
      <w:color w:val="0E3B43"/>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eastAsia="Arial"/>
      <w:b/>
      <w:bCs/>
      <w:color w:val="A68439"/>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rial" w:hAnsi="Arial" w:eastAsia="Arial"/>
      <w:color w:val="0E3B43"/>
      <w:spacing w:val="5"/>
      <w:kern w:val="28"/>
      <w:sz w:val="44"/>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