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8: Zukunftskommunikation, Narrative und Resonanzräume</w:t>
      </w:r>
    </w:p>
    <w:p>
      <w:pPr>
        <w:jc w:val="center"/>
      </w:pPr>
      <w:r>
        <w:rPr>
          <w:color w:val="5A5A5A"/>
          <w:sz w:val="26"/>
        </w:rPr>
        <w:t>Wie Zukunftsbilder kommuniziert werden müssen, damit sie Orientierung schaffen statt Abwehr, Angst oder Heilsversprechen.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Zukunftskommunikation, Narrative und Resonanzräume ist ein Detailkonzept innerhalb von Rang 22. Es konkretisiert Wie Zukunftsbilder kommuniziert werden müssen, damit sie Orientierung schaffen statt Abwehr, Angst oder Heilsversprechen.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8: Zukunfts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