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Toolkarten</w:t>
      </w:r>
    </w:p>
    <w:p>
      <w:pPr>
        <w:jc w:val="center"/>
      </w:pPr>
      <w:r>
        <w:rPr>
          <w:color w:val="5A5A5A"/>
          <w:sz w:val="26"/>
        </w:rPr>
        <w:t>Zukunftsbilder und Wirkungswohlstand</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Toolkarten Übersicht</w:t>
      </w:r>
    </w:p>
    <w:p>
      <w:pPr>
        <w:spacing w:after="120" w:line="259" w:lineRule="auto"/>
      </w:pPr>
      <w:r>
        <w:rPr>
          <w:b w:val="0"/>
        </w:rPr>
        <w:t>4. Zukunftsbild-Canvas 2035</w:t>
      </w:r>
    </w:p>
    <w:p>
      <w:pPr>
        <w:spacing w:after="120" w:line="259" w:lineRule="auto"/>
      </w:pPr>
      <w:r>
        <w:rPr>
          <w:b w:val="0"/>
        </w:rPr>
        <w:t>5. Wirkungswohlstand-Index</w:t>
      </w:r>
    </w:p>
    <w:p>
      <w:pPr>
        <w:spacing w:after="120" w:line="259" w:lineRule="auto"/>
      </w:pPr>
      <w:r>
        <w:rPr>
          <w:b w:val="0"/>
        </w:rPr>
        <w:t>6. Alltagswirkungs-Check</w:t>
      </w:r>
    </w:p>
    <w:p>
      <w:pPr>
        <w:spacing w:after="120" w:line="259" w:lineRule="auto"/>
      </w:pPr>
      <w:r>
        <w:rPr>
          <w:b w:val="0"/>
        </w:rPr>
        <w:t>7. Unternehmen-2035-Radar</w:t>
      </w:r>
    </w:p>
    <w:p>
      <w:pPr>
        <w:spacing w:after="120" w:line="259" w:lineRule="auto"/>
      </w:pPr>
      <w:r>
        <w:rPr>
          <w:b w:val="0"/>
        </w:rPr>
        <w:t>8. Staat-2035-Scorecard</w:t>
      </w:r>
    </w:p>
    <w:p>
      <w:pPr>
        <w:spacing w:after="120" w:line="259" w:lineRule="auto"/>
      </w:pPr>
      <w:r>
        <w:rPr>
          <w:b w:val="0"/>
        </w:rPr>
        <w:t>9. Globale-Rueckkopplungs-Matrix</w:t>
      </w:r>
    </w:p>
    <w:p>
      <w:pPr>
        <w:spacing w:after="120" w:line="259" w:lineRule="auto"/>
      </w:pPr>
      <w:r>
        <w:rPr>
          <w:b w:val="0"/>
        </w:rPr>
        <w:t>10. Verlustleistungs-Radar</w:t>
      </w:r>
    </w:p>
    <w:p>
      <w:pPr>
        <w:spacing w:after="120" w:line="259" w:lineRule="auto"/>
      </w:pPr>
      <w:r>
        <w:rPr>
          <w:b w:val="0"/>
        </w:rPr>
        <w:t>11. Zukunftskommunikations-Check</w:t>
      </w:r>
    </w:p>
    <w:p>
      <w:pPr>
        <w:spacing w:after="120" w:line="259" w:lineRule="auto"/>
      </w:pPr>
      <w:r>
        <w:rPr>
          <w:b w:val="0"/>
        </w:rPr>
        <w:t>12. SDG- und SDG+-Bezug</w:t>
      </w:r>
    </w:p>
    <w:p>
      <w:pPr>
        <w:spacing w:after="120" w:line="259" w:lineRule="auto"/>
      </w:pPr>
      <w:r>
        <w:rPr>
          <w:b w:val="0"/>
        </w:rPr>
        <w:t>13. Politische Anschlussfähigkeit und Umsetzungsoptionen</w:t>
      </w:r>
    </w:p>
    <w:p>
      <w:pPr>
        <w:spacing w:after="120" w:line="259" w:lineRule="auto"/>
      </w:pPr>
      <w:r>
        <w:rPr>
          <w:b w:val="0"/>
        </w:rPr>
        <w:t>14. Quellen und interne Bezugslinien</w:t>
      </w:r>
    </w:p>
    <w:p>
      <w:pPr>
        <w:spacing w:after="120" w:line="259" w:lineRule="auto"/>
      </w:pPr>
      <w:r>
        <w:rPr>
          <w:b w:val="0"/>
        </w:rPr>
        <w:t>15.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Toolkarten Übersicht</w:t>
      </w:r>
    </w:p>
    <w:p>
      <w:pPr>
        <w:spacing w:after="120" w:line="259" w:lineRule="auto"/>
      </w:pPr>
      <w:r>
        <w:rPr>
          <w:b w:val="0"/>
        </w:rPr>
        <w:t>Die Toolkarten dienen als Website-Karten und Akademie-Bausteine. Sie dürfen nicht nur Namen enthalten, sondern müssen Beschreibung, Nutzen, Zielgruppe, Status und Link enthalten.</w:t>
      </w:r>
    </w:p>
    <w:p>
      <w:pPr>
        <w:pStyle w:val="Heading1"/>
      </w:pPr>
      <w:r>
        <w:t>Zukunftsbild-Canvas 2035</w:t>
      </w:r>
    </w:p>
    <w:p>
      <w:pPr>
        <w:spacing w:after="120" w:line="259" w:lineRule="auto"/>
      </w:pPr>
      <w:r>
        <w:rPr>
          <w:b w:val="0"/>
        </w:rPr>
        <w:t>Beschreibung: Strukturiert Alltag, Unternehmen, Staat und globale Ordnung nach Wirkungspfaden. Zielgruppe: Kommunen, Akademie, Strategieprozesse Status: Demo in Vorbereitung. Link: /tools/zukunftsbild-canvas-2035/</w:t>
      </w:r>
    </w:p>
    <w:p>
      <w:pPr>
        <w:pStyle w:val="Heading1"/>
      </w:pPr>
      <w:r>
        <w:t>Wirkungswohlstand-Index</w:t>
      </w:r>
    </w:p>
    <w:p>
      <w:pPr>
        <w:spacing w:after="120" w:line="259" w:lineRule="auto"/>
      </w:pPr>
      <w:r>
        <w:rPr>
          <w:b w:val="0"/>
        </w:rPr>
        <w:t>Beschreibung: Ordnet Wohlstand nach Lebensbedingungen, Resilienz, Gesundheit, Vertrauen, Natur, Bildung und Teilgabe. Zielgruppe: Politik, Forschung, Verwaltung Status: Konzept in Vorbereitung. Link: /tools/wirkungswohlstand-index/</w:t>
      </w:r>
    </w:p>
    <w:p>
      <w:pPr>
        <w:pStyle w:val="Heading1"/>
      </w:pPr>
      <w:r>
        <w:t>Alltagswirkungs-Check</w:t>
      </w:r>
    </w:p>
    <w:p>
      <w:pPr>
        <w:spacing w:after="120" w:line="259" w:lineRule="auto"/>
      </w:pPr>
      <w:r>
        <w:rPr>
          <w:b w:val="0"/>
        </w:rPr>
        <w:t>Beschreibung: Hilft Bürger:innen, Wirkung im Alltag zu verstehen, ohne Menschen zu bewerten. Zielgruppe: Bürger:innen, Bildung, Akademie Status: Demo in Vorbereitung. Link: /tools/alltagswirkungs-check/</w:t>
      </w:r>
    </w:p>
    <w:p>
      <w:pPr>
        <w:pStyle w:val="Heading1"/>
      </w:pPr>
      <w:r>
        <w:t>Unternehmen-2035-Radar</w:t>
      </w:r>
    </w:p>
    <w:p>
      <w:pPr>
        <w:spacing w:after="120" w:line="259" w:lineRule="auto"/>
      </w:pPr>
      <w:r>
        <w:rPr>
          <w:b w:val="0"/>
        </w:rPr>
        <w:t>Beschreibung: Bewertet, ob Unternehmen Wirkung in Strategie, Risiko, Kapital, Lieferkette und Produktportfolio verankern. Zielgruppe: Unternehmen, Banken, Beratung Status: Demo in Vorbereitung. Link: /tools/unternehmen-2035-radar/</w:t>
      </w:r>
    </w:p>
    <w:p>
      <w:pPr>
        <w:pStyle w:val="Heading1"/>
      </w:pPr>
      <w:r>
        <w:t>Staat-2035-Scorecard</w:t>
      </w:r>
    </w:p>
    <w:p>
      <w:pPr>
        <w:spacing w:after="120" w:line="259" w:lineRule="auto"/>
      </w:pPr>
      <w:r>
        <w:rPr>
          <w:b w:val="0"/>
        </w:rPr>
        <w:t>Beschreibung: Prüft Wirkungshaushalt, Beschaffung, Verwaltung, Rechtsschutz, Resilienz und Beteiligung. Zielgruppe: Verwaltung, Politik, Kommunen Status: Demo in Vorbereitung. Link: /tools/staat-2035-scorecard/</w:t>
      </w:r>
    </w:p>
    <w:p>
      <w:pPr>
        <w:pStyle w:val="Heading1"/>
      </w:pPr>
      <w:r>
        <w:t>Globale-Rueckkopplungs-Matrix</w:t>
      </w:r>
    </w:p>
    <w:p>
      <w:pPr>
        <w:spacing w:after="120" w:line="259" w:lineRule="auto"/>
      </w:pPr>
      <w:r>
        <w:rPr>
          <w:b w:val="0"/>
        </w:rPr>
        <w:t>Beschreibung: Ordnet Wirkungspartnerschaften, Lieferketten, Ressourcenfairness und globale Resilienz. Zielgruppe: Internationale Kooperation, Think Tanks Status: Konzept in Vorbereitung. Link: /tools/globale-rueckkopplungs-matrix/</w:t>
      </w:r>
    </w:p>
    <w:p>
      <w:pPr>
        <w:pStyle w:val="Heading1"/>
      </w:pPr>
      <w:r>
        <w:t>Verlustleistungs-Radar</w:t>
      </w:r>
    </w:p>
    <w:p>
      <w:pPr>
        <w:spacing w:after="120" w:line="259" w:lineRule="auto"/>
      </w:pPr>
      <w:r>
        <w:rPr>
          <w:b w:val="0"/>
        </w:rPr>
        <w:t>Beschreibung: Macht sichtbar, wo Aktivität Geld bewegt, aber positive Wirkung verhindert oder Schäden erzeugt. Zielgruppe: Wirtschaft, Staat, Forschung Status: Demo in Vorbereitung. Link: /tools/verlustleistungs-radar/</w:t>
      </w:r>
    </w:p>
    <w:p>
      <w:pPr>
        <w:pStyle w:val="Heading1"/>
      </w:pPr>
      <w:r>
        <w:t>Zukunftskommunikations-Check</w:t>
      </w:r>
    </w:p>
    <w:p>
      <w:pPr>
        <w:spacing w:after="120" w:line="259" w:lineRule="auto"/>
      </w:pPr>
      <w:r>
        <w:rPr>
          <w:b w:val="0"/>
        </w:rPr>
        <w:t>Beschreibung: Prüft Zukunftstexte auf Heilsversprechen, Alarmismus, moralische Überforderung und Resonanzrisiken. Zielgruppe: Medien, Akademie, politische Kommunikation Status: Demo in Vorbereitung. Link: /tools/zukunftskommunikations-check/</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Toolkarten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