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SDG- und SDG+-Block</w:t>
      </w:r>
    </w:p>
    <w:p>
      <w:pPr>
        <w:jc w:val="center"/>
      </w:pPr>
      <w:r>
        <w:rPr>
          <w:color w:val="5A5A5A"/>
          <w:sz w:val="26"/>
        </w:rPr>
        <w:t>Zukunftsbilder und Wirkungswohlstand</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SDG-Logik</w:t>
      </w:r>
    </w:p>
    <w:p>
      <w:pPr>
        <w:spacing w:after="120" w:line="259" w:lineRule="auto"/>
      </w:pPr>
      <w:r>
        <w:rPr>
          <w:b w:val="0"/>
        </w:rPr>
        <w:t>4. SDG+-Logik</w:t>
      </w:r>
    </w:p>
    <w:p>
      <w:pPr>
        <w:spacing w:after="120" w:line="259" w:lineRule="auto"/>
      </w:pPr>
      <w:r>
        <w:rPr>
          <w:b w:val="0"/>
        </w:rPr>
        <w:t>5. SDG- und SDG+-Bezug</w:t>
      </w:r>
    </w:p>
    <w:p>
      <w:pPr>
        <w:spacing w:after="120" w:line="259" w:lineRule="auto"/>
      </w:pPr>
      <w:r>
        <w:rPr>
          <w:b w:val="0"/>
        </w:rPr>
        <w:t>6. Politische Anschlussfähigkeit und Umsetzungsoptionen</w:t>
      </w:r>
    </w:p>
    <w:p>
      <w:pPr>
        <w:spacing w:after="120" w:line="259" w:lineRule="auto"/>
      </w:pPr>
      <w:r>
        <w:rPr>
          <w:b w:val="0"/>
        </w:rPr>
        <w:t>7. Quellen und interne Bezugslinien</w:t>
      </w:r>
    </w:p>
    <w:p>
      <w:pPr>
        <w:spacing w:after="120" w:line="259" w:lineRule="auto"/>
      </w:pPr>
      <w:r>
        <w:rPr>
          <w:b w:val="0"/>
        </w:rPr>
        <w:t>8.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SDG-Logik</w:t>
      </w:r>
    </w:p>
    <w:p>
      <w:pPr>
        <w:spacing w:after="120" w:line="259" w:lineRule="auto"/>
      </w:pPr>
      <w:r>
        <w:rPr>
          <w:b w:val="0"/>
        </w:rPr>
        <w:t>Rang 22 verbindet alle SDGs mit der Frage, ob Lebensbedingungen tragfähiger werden.</w:t>
      </w:r>
    </w:p>
    <w:p>
      <w:pPr>
        <w:pStyle w:val="Heading1"/>
      </w:pPr>
      <w:r>
        <w:t>SDG+-Logik</w:t>
      </w:r>
    </w:p>
    <w:p>
      <w:pPr>
        <w:spacing w:after="120" w:line="259" w:lineRule="auto"/>
      </w:pPr>
      <w:r>
        <w:rPr>
          <w:b w:val="0"/>
        </w:rPr>
        <w:t>SDG+ sichert die demokratischen und medialen Voraussetzungen der Wirkung.</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SDG- und SDG+-Block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