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Politische Anschlussfähigkeit</w:t>
      </w:r>
    </w:p>
    <w:p>
      <w:pPr>
        <w:jc w:val="center"/>
      </w:pPr>
      <w:r>
        <w:rPr>
          <w:color w:val="5A5A5A"/>
          <w:sz w:val="26"/>
        </w:rPr>
        <w:t>Zukunftsbilder und Wirkungswohlstand</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Aufgabe der Politik</w:t>
      </w:r>
    </w:p>
    <w:p>
      <w:pPr>
        <w:spacing w:after="120" w:line="259" w:lineRule="auto"/>
      </w:pPr>
      <w:r>
        <w:rPr>
          <w:b w:val="0"/>
        </w:rPr>
        <w:t>4. Politische Rahmenbedingungen</w:t>
      </w:r>
    </w:p>
    <w:p>
      <w:pPr>
        <w:spacing w:after="120" w:line="259" w:lineRule="auto"/>
      </w:pPr>
      <w:r>
        <w:rPr>
          <w:b w:val="0"/>
        </w:rPr>
        <w:t>5. Ausgestaltungsspielraum</w:t>
      </w:r>
    </w:p>
    <w:p>
      <w:pPr>
        <w:spacing w:after="120" w:line="259" w:lineRule="auto"/>
      </w:pPr>
      <w:r>
        <w:rPr>
          <w:b w:val="0"/>
        </w:rPr>
        <w:t>6. Zielkonflikte</w:t>
      </w:r>
    </w:p>
    <w:p>
      <w:pPr>
        <w:spacing w:after="120" w:line="259" w:lineRule="auto"/>
      </w:pPr>
      <w:r>
        <w:rPr>
          <w:b w:val="0"/>
        </w:rPr>
        <w:t>7. Rollenverteilung</w:t>
      </w:r>
    </w:p>
    <w:p>
      <w:pPr>
        <w:spacing w:after="120" w:line="259" w:lineRule="auto"/>
      </w:pPr>
      <w:r>
        <w:rPr>
          <w:b w:val="0"/>
        </w:rPr>
        <w:t>8. Übergang und Schutz</w:t>
      </w:r>
    </w:p>
    <w:p>
      <w:pPr>
        <w:spacing w:after="120" w:line="259" w:lineRule="auto"/>
      </w:pPr>
      <w:r>
        <w:rPr>
          <w:b w:val="0"/>
        </w:rPr>
        <w:t>9. Evaluation und Korrektur</w:t>
      </w:r>
    </w:p>
    <w:p>
      <w:pPr>
        <w:spacing w:after="120" w:line="259" w:lineRule="auto"/>
      </w:pPr>
      <w:r>
        <w:rPr>
          <w:b w:val="0"/>
        </w:rPr>
        <w:t>10. Parteipolitische Anschlussfähigkeit</w:t>
      </w:r>
    </w:p>
    <w:p>
      <w:pPr>
        <w:spacing w:after="120" w:line="259" w:lineRule="auto"/>
      </w:pPr>
      <w:r>
        <w:rPr>
          <w:b w:val="0"/>
        </w:rPr>
        <w:t>11. Schutz vor Technokratie</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1"/>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1"/>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1"/>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1"/>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1"/>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1"/>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1"/>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1"/>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Politische Anschlussfähig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