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Quellen und Glossarlinks</w:t>
      </w:r>
    </w:p>
    <w:p>
      <w:pPr>
        <w:jc w:val="center"/>
      </w:pPr>
      <w:r>
        <w:rPr>
          <w:color w:val="5A5A5A"/>
          <w:sz w:val="26"/>
        </w:rPr>
        <w:t>Zukunftsbilder und Wirkungswohlstand</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Quellenrahmen</w:t>
      </w:r>
    </w:p>
    <w:p>
      <w:pPr>
        <w:spacing w:after="120" w:line="259" w:lineRule="auto"/>
      </w:pPr>
      <w:r>
        <w:rPr>
          <w:b w:val="0"/>
        </w:rPr>
        <w:t>4. Glossarlinks</w:t>
      </w:r>
    </w:p>
    <w:p>
      <w:pPr>
        <w:spacing w:after="120" w:line="259" w:lineRule="auto"/>
      </w:pPr>
      <w:r>
        <w:rPr>
          <w:b w:val="0"/>
        </w:rPr>
        <w:t>5. Hinweis</w:t>
      </w:r>
    </w:p>
    <w:p>
      <w:pPr>
        <w:spacing w:after="120" w:line="259" w:lineRule="auto"/>
      </w:pPr>
      <w:r>
        <w:rPr>
          <w:b w:val="0"/>
        </w:rPr>
        <w:t>6. SDG- und SDG+-Bezug</w:t>
      </w:r>
    </w:p>
    <w:p>
      <w:pPr>
        <w:spacing w:after="120" w:line="259" w:lineRule="auto"/>
      </w:pPr>
      <w:r>
        <w:rPr>
          <w:b w:val="0"/>
        </w:rPr>
        <w:t>7. Politische Anschlussfähigkeit und Umsetzungsoptionen</w:t>
      </w:r>
    </w:p>
    <w:p>
      <w:pPr>
        <w:spacing w:after="120" w:line="259" w:lineRule="auto"/>
      </w:pPr>
      <w:r>
        <w:rPr>
          <w:b w:val="0"/>
        </w:rPr>
        <w:t>8. Quellen und interne Bezugslinien</w:t>
      </w:r>
    </w:p>
    <w:p>
      <w:pPr>
        <w:spacing w:after="120" w:line="259" w:lineRule="auto"/>
      </w:pPr>
      <w:r>
        <w:rPr>
          <w:b w:val="0"/>
        </w:rPr>
        <w:t>9.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Quellenrahmen</w:t>
      </w:r>
    </w:p>
    <w:p>
      <w:pPr>
        <w:spacing w:after="120" w:line="259" w:lineRule="auto"/>
      </w:pPr>
      <w:r>
        <w:rPr>
          <w:b w:val="0"/>
        </w:rPr>
        <w:t>Natalie Weber: Die neue Ordnung des Wohlstands. Arbeitsfassung 2026. Teil XVIII - Schluss, Ausblick und zivilisatorische Perspektive.</w:t>
        <w:br/>
        <w:t>Natalie Weber: Führender Begriffsleitfaden der Wirkungsökonomie, Version 1.0, Stand 21. Mai 2026.</w:t>
        <w:br/>
        <w:t>Natalie Weber: Grundlagenpapier Wirkungsökonomie WÖk, 2025.</w:t>
        <w:br/>
        <w:t>Natalie Weber: Systemmodell der Wirkungsökonomie, 2025.</w:t>
        <w:br/>
        <w:t>Vereinte Nationen: Agenda 2030 und Sustainable Development Goals.</w:t>
        <w:br/>
        <w:t>Interne Wirkungsökonomie-Arbeitsfassung: Kapitel 107 - Zukunftsbilder und Kapitel 108 - Schlussbild: Die neue Ordnung des Wohlstands.</w:t>
      </w:r>
    </w:p>
    <w:p>
      <w:pPr>
        <w:pStyle w:val="Heading1"/>
      </w:pPr>
      <w:r>
        <w:t>Glossarlinks</w:t>
      </w:r>
    </w:p>
    <w:p>
      <w:pPr>
        <w:spacing w:after="120" w:line="259" w:lineRule="auto"/>
      </w:pPr>
      <w:r>
        <w:rPr>
          <w:b w:val="0"/>
        </w:rPr>
        <w:t>Wirkung, Wirkungspotenzial, Wirkungsrisiko, Netto-Wirkung, positive Netto-Wirkung, Transformationswirkung, Wirkungslenkung, Wirkungsrückkopplung, Wirkungsarchitektur, Wirkungswohlstand, Verlustleistung, Wirkleistung, SDG+.</w:t>
      </w:r>
    </w:p>
    <w:p>
      <w:pPr>
        <w:pStyle w:val="Heading1"/>
      </w:pPr>
      <w:r>
        <w:t>Hinweis</w:t>
      </w:r>
    </w:p>
    <w:p>
      <w:pPr>
        <w:spacing w:after="120" w:line="259" w:lineRule="auto"/>
      </w:pPr>
      <w:r>
        <w:rPr>
          <w:b w:val="0"/>
        </w:rPr>
        <w:t>Quellen im öffentlichen Dokument müssen human-readable sein. Keine internen Tool-Zitate oder Platzhalter verwenden.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Quellen und Glossarlinks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