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Detailkonzept Fachbibliothek und Wissensarchiv</w:t>
      </w:r>
    </w:p>
    <w:p>
      <w:pPr/>
      <w:r>
        <w:t>Vom Dokumentenbestand zur öffentlichen Wissensinfrastruktur</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Kernthese</w:t>
      </w:r>
    </w:p>
    <w:p>
      <w:pPr>
        <w:pStyle w:val="ListBullet"/>
      </w:pPr>
      <w:r>
        <w:t>Bibliotheksmodell</w:t>
      </w:r>
    </w:p>
    <w:p>
      <w:pPr>
        <w:pStyle w:val="ListBullet"/>
      </w:pPr>
      <w:r>
        <w:t>Nutzungsszenarien</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Kernthese</w:t>
      </w:r>
    </w:p>
    <w:p>
      <w:r>
        <w:t>Die Fachbibliothek ist nicht Ablage, sondern Orientierungsraum. Sie ordnet alle Inhalte der Wirkungsökonomie nach Thema, Rang, Dokumenttyp, Status, Zielgruppe, SDG-/SDG+-Bezug und Anwendungsfall.</w:t>
      </w:r>
    </w:p>
    <w:p>
      <w:pPr>
        <w:pStyle w:val="Heading1"/>
      </w:pPr>
      <w:r>
        <w:t>Bibliotheksmodell</w:t>
      </w:r>
    </w:p>
    <w:p>
      <w:r>
        <w:t>Jeder Eintrag braucht Titel, Kurzbeschreibung, Autorin, Referenz, Version, Stand, Status, Onlinefassung, PDF, DOCX, Quellen, Glossarlinks und Querverlinkungen. Die Bibliothek muss Volltextsuche, Filter und kuratierte Sammlungen unterstützen.</w:t>
      </w:r>
    </w:p>
    <w:p>
      <w:pPr>
        <w:pStyle w:val="Heading1"/>
      </w:pPr>
      <w:r>
        <w:t>Nutzungsszenarien</w:t>
      </w:r>
    </w:p>
    <w:p>
      <w:r>
        <w:t>Eine Kommune sucht Integrationstools. Ein Unternehmen sucht Lieferkettenindikatoren. Eine Lehrkraft sucht Wirkungskompetenzmaterial. Eine politische Mitarbeiterin sucht Kurzfassungen und Dossiers. Die Fachbibliothek muss alle vier Wege ermöglichen.</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