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Detailkonzept Didaktik, Lernpfade und Zertifikate</w:t>
      </w:r>
    </w:p>
    <w:p>
      <w:pPr/>
      <w:r>
        <w:t>Vom Lesen zum Anwenden</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Kernthese</w:t>
      </w:r>
    </w:p>
    <w:p>
      <w:pPr>
        <w:pStyle w:val="ListBullet"/>
      </w:pPr>
      <w:r>
        <w:t>Didaktisches Modell</w:t>
      </w:r>
    </w:p>
    <w:p>
      <w:pPr>
        <w:pStyle w:val="ListBullet"/>
      </w:pPr>
      <w:r>
        <w:t>Lernpfade</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Kernthese</w:t>
      </w:r>
    </w:p>
    <w:p>
      <w:r>
        <w:t>Wirkungskompetenz entsteht nicht durch lineares Lesen allein. Lernpfade müssen erklären, üben, anwenden, reflektieren und überprüfen.</w:t>
      </w:r>
    </w:p>
    <w:p>
      <w:pPr>
        <w:pStyle w:val="Heading1"/>
      </w:pPr>
      <w:r>
        <w:t>Didaktisches Modell</w:t>
      </w:r>
    </w:p>
    <w:p>
      <w:r>
        <w:t>Jedes Modul beginnt mit einer realen Frage. Danach folgen Begriffe, Daten, Fallbeispiel, Zielkonflikt, Entscheidungsübung und Transfer. So bleibt Wirkung nicht abstrakt.</w:t>
      </w:r>
    </w:p>
    <w:p>
      <w:pPr>
        <w:pStyle w:val="Heading1"/>
      </w:pPr>
      <w:r>
        <w:t>Lernpfade</w:t>
      </w:r>
    </w:p>
    <w:p>
      <w:r>
        <w:t>Es gibt Einstiegspfade für Bürger:innen, Fachpfade für Unternehmen und Verwaltung, Lehrpfade für Schulen und Hochschulen, Medienpfade für Öffentlichkeit und Vertiefungspfade für Forschung.</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