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Wirkungsindikatoren Rang 23</w:t>
      </w:r>
    </w:p>
    <w:p>
      <w:pPr/>
      <w:r>
        <w:t>Messgrößen für Akademie, Fachbibliothek, Website und Wissensarchitektur</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Indikatorenlogik</w:t>
      </w:r>
    </w:p>
    <w:p>
      <w:pPr>
        <w:pStyle w:val="ListBullet"/>
      </w:pPr>
      <w:r>
        <w:t>Beispielindikatoren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ListBullet"/>
      </w:pPr>
      <w:r>
        <w:t>Praxisbeispiel: Von Rangpaket zu Lernmodul</w:t>
      </w:r>
    </w:p>
    <w:p>
      <w:pPr>
        <w:pStyle w:val="Heading1"/>
      </w:pPr>
      <w:r>
        <w:t>Indikatorenlogik</w:t>
      </w:r>
    </w:p>
    <w:p>
      <w:r>
        <w:t>Rang 23 bewertet nicht Menschen, sondern Wissens-, Lern- und Redaktionsstrukturen. Indikatoren zeigen, ob die Wirkungsökonomie lernbar, auffindbar, verständlich und prüfbar wird.</w:t>
      </w:r>
    </w:p>
    <w:p>
      <w:r>
        <w:t>Kernindikatoren sind Online-Volltext-Quote, Download-Verfügbarkeit, DOCX-/PDF-Abdeckung, Glossarbindung, Quellenklarheit, mobile Nutzbarkeit, Lernpfad-Abdeckung, Toolkarten-Vollständigkeit und Aktualisierungsquote.</w:t>
      </w:r>
    </w:p>
    <w:p>
      <w:pPr>
        <w:pStyle w:val="Heading1"/>
      </w:pPr>
      <w:r>
        <w:t>Beispielindikatoren</w:t>
      </w:r>
    </w:p>
    <w:p>
      <w:r>
        <w:t>Online-Volltext-Quote: Anteil zentraler Dokumente mit vollständiger HTML-Fassung.</w:t>
      </w:r>
    </w:p>
    <w:p>
      <w:r>
        <w:t>Download-Abdeckung: Anteil zentraler Dokumente mit PDF und DOCX.</w:t>
      </w:r>
    </w:p>
    <w:p>
      <w:r>
        <w:t>Glossarlink-Quote: Anteil der Seiten mit Links zu zentralen WÖk-Begriffen.</w:t>
      </w:r>
    </w:p>
    <w:p>
      <w:r>
        <w:t>Toolkarten-Reifegrad: Anteil der Toolkarten mit Beschreibung, Nutzen, Zielgruppe, Status und Link.</w:t>
      </w:r>
    </w:p>
    <w:p>
      <w:r>
        <w:t>Aktualisierungsquote: Anteil der Dokumente mit nachvollziehbarem Stand und Version.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