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Eyebrow"/>
      </w:pPr>
      <w:r>
        <w:t>ARBEITSPAPIER / REFERENZDOKUMENT</w:t>
      </w:r>
    </w:p>
    <w:p>
      <w:pPr>
        <w:pStyle w:val="Title"/>
      </w:pPr>
      <w:r>
        <w:t>SDG+ als Erweiterung des SDG-Referenzrahmens</w:t>
      </w:r>
    </w:p>
    <w:p>
      <w:r>
        <w:rPr>
          <w:color w:val="176F59"/>
          <w:sz w:val="28"/>
        </w:rPr>
        <w:t>Warum die Wirkungsökonomie Demokratie, Medienqualität, Rechtsstaatlichkeit, Diskursfähigkeit, institutionelles Vertrauen, gesellschaftlichen Zusammenhalt und digitale Selbstbestimmung sichtbar machen muss</w:t>
      </w:r>
    </w:p>
    <w:p>
      <w:r>
        <w:rPr>
          <w:sz w:val="20"/>
        </w:rPr>
        <w:t>Autorin: Natalie Weber</w:t>
        <w:br/>
        <w:t>Stand: 24. Mai 2026</w:t>
        <w:br/>
        <w:t>Version: 0.1 - Diskussions- und Arbeitsfassung</w:t>
        <w:br/>
        <w:t>Website-Bezug: /verstehen/sdgs-sdgplus/</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Kurzformel</w:t>
            </w:r>
          </w:p>
          <w:p>
            <w:pPr>
              <w:spacing w:after="0"/>
              <w:ind w:left="72" w:right="72"/>
            </w:pPr>
            <w:r>
              <w:t>SDG+ ersetzt die 17 SDGs nicht. SDG+ ergänzt sie dort, wo demokratische, mediale, rechtsstaatliche und digitale Wirkungsräume für positive Netto-Wirkung im 21. Jahrhundert unverzichtbar sind.</w:t>
            </w:r>
          </w:p>
        </w:tc>
      </w:tr>
    </w:tbl>
    <w:p/>
    <w:p>
      <w:r>
        <w:br w:type="page"/>
      </w:r>
    </w:p>
    <w:p>
      <w:pPr>
        <w:pStyle w:val="Heading1"/>
      </w:pPr>
      <w:r>
        <w:t>Inhaltsüberblick</w:t>
      </w:r>
    </w:p>
    <w:p>
      <w:pPr>
        <w:pStyle w:val="ListBullet"/>
      </w:pPr>
      <w:r>
        <w:t>1. Executive Summary</w:t>
      </w:r>
    </w:p>
    <w:p>
      <w:pPr>
        <w:pStyle w:val="ListBullet"/>
      </w:pPr>
      <w:r>
        <w:t>2. Zweck und Status des Dokuments</w:t>
      </w:r>
    </w:p>
    <w:p>
      <w:pPr>
        <w:pStyle w:val="ListBullet"/>
      </w:pPr>
      <w:r>
        <w:t>3. Warum die SDGs notwendig, aber nicht ausreichend sind</w:t>
      </w:r>
    </w:p>
    <w:p>
      <w:pPr>
        <w:pStyle w:val="ListBullet"/>
      </w:pPr>
      <w:r>
        <w:t>4. SDG+ als Erweiterung der Wirkungsökonomie</w:t>
      </w:r>
    </w:p>
    <w:p>
      <w:pPr>
        <w:pStyle w:val="ListBullet"/>
      </w:pPr>
      <w:r>
        <w:t>5. Die sieben SDG+-Dimensionen im Überblick</w:t>
      </w:r>
    </w:p>
    <w:p>
      <w:pPr>
        <w:pStyle w:val="ListBullet"/>
      </w:pPr>
      <w:r>
        <w:t>6. Detailkapitel zu allen SDG+-Dimensionen</w:t>
      </w:r>
    </w:p>
    <w:p>
      <w:pPr>
        <w:pStyle w:val="ListBullet"/>
      </w:pPr>
      <w:r>
        <w:t>7. SDG+, WÖk-IDs, Scorecards und Nichtkompensation</w:t>
      </w:r>
    </w:p>
    <w:p>
      <w:pPr>
        <w:pStyle w:val="ListBullet"/>
      </w:pPr>
      <w:r>
        <w:t>8. Website-Architektur: SDG+ als Teil der SDG-Seite</w:t>
      </w:r>
    </w:p>
    <w:p>
      <w:pPr>
        <w:pStyle w:val="ListBullet"/>
      </w:pPr>
      <w:r>
        <w:t>9. Glossar, Hover-Texte und Referenzblöcke</w:t>
      </w:r>
    </w:p>
    <w:p>
      <w:pPr>
        <w:pStyle w:val="ListBullet"/>
      </w:pPr>
      <w:r>
        <w:t>10. Governance, Quellen und Pflegeprozess</w:t>
      </w:r>
    </w:p>
    <w:p>
      <w:pPr>
        <w:pStyle w:val="ListBullet"/>
      </w:pPr>
      <w:r>
        <w:t>11. Quellen und Referenzen</w:t>
      </w:r>
    </w:p>
    <w:p>
      <w:r>
        <w:br w:type="page"/>
      </w:r>
    </w:p>
    <w:p>
      <w:pPr>
        <w:pStyle w:val="Heading1"/>
      </w:pPr>
      <w:r>
        <w:t>1. Executive Summary</w:t>
      </w:r>
    </w:p>
    <w:p>
      <w:r>
        <w:t>Die Sustainable Development Goals der Vereinten Nationen sind der zentrale globale Zielrahmen der Agenda 2030. Sie machen sichtbar, welche Zustände weltweit verbessert werden sollen: Armut verringern, Gesundheit und Bildung stärken, Ungleichheiten abbauen, Klima und Ökosysteme schützen, Frieden, Institutionen und Partnerschaften sichern. Die Wirkungsökonomie nutzt diesen Rahmen, weil er politisch beschlossen, international anschlussfähig und in Berichtssystemen, Nachhaltigkeitsstrategien, Finanzmarktlogiken und Unternehmensberichten bereits verbreitet ist.</w:t>
      </w:r>
    </w:p>
    <w:p>
      <w:r>
        <w:t>Für eine Wirkungsökonomie reichen die SDGs aber nicht vollständig aus. Sie sind Zielräume, keine Rückkopplungsarchitektur. Sie benennen, was erreicht werden soll, lösen aber nicht automatisch die Frage, wie Wirkung in Preise, Steuern, Kapitalzugang, Beschaffung, Haushalt, Medien, Rechtsschutz und demokratische Korrektur zurückgeführt wird. Außerdem behandeln sie einige Wirkungsräume des 21. Jahrhunderts nicht in der nötigen Tiefe: digitale Öffentlichkeit, Plattformmacht, Desinformation, algorithmische Manipulation, Medienqualität, Diskursfähigkeit, institutionelles Vertrauen und digitale Selbstbestimmung.</w:t>
      </w:r>
    </w:p>
    <w:p>
      <w:r>
        <w:t>SDG+ ist deshalb keine Alternative zu den SDGs und kein neuer offizieller UN-Zielkatalog. SDG+ ist eine transparente Erweiterung der Wirkungsökonomie. Sie macht jene demokratischen, medialen, rechtsstaatlichen, sozialen und digitalen Voraussetzungen sichtbar, ohne die nachhaltige Entwicklung nicht stabil erreicht werden kann.</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Leitsatz</w:t>
            </w:r>
          </w:p>
          <w:p>
            <w:pPr>
              <w:spacing w:after="0"/>
              <w:ind w:left="72" w:right="72"/>
            </w:pPr>
            <w:r>
              <w:t>Eine Wirkung kann in der Wirkungsökonomie nicht als ausreichend positiv gelten, wenn sie ökologische oder soziale Vorteile erzeugt, aber demokratische Korrekturfähigkeit, Medienqualität, Rechtsstaatlichkeit oder digitale Selbstbestimmung beschädigt.</w:t>
            </w:r>
          </w:p>
        </w:tc>
      </w:tr>
    </w:tbl>
    <w:p/>
    <w:p>
      <w:r>
        <w:t>Dieses Dokument legt SDG+ als Referenzrahmen für Website, Glossar, WÖk-IDs, Portalseiten, Tools, Arbeitspapiere und Buchverweise fest. Es ist so aufgebaut, dass es direkt als downloadbares Arbeitspapier verwendet und zugleich in die Website-Seite „SDG-/SDG+-Referenzrahmen“ integriert werden kann.</w:t>
      </w:r>
    </w:p>
    <w:p>
      <w:pPr>
        <w:pStyle w:val="Heading1"/>
      </w:pPr>
      <w:r>
        <w:t>2. Zweck und Status des Dokuments</w:t>
      </w:r>
    </w:p>
    <w:p>
      <w:r>
        <w:t>Dieses Arbeitspapier hat vier Funktionen:</w:t>
      </w:r>
    </w:p>
    <w:p>
      <w:pPr>
        <w:pStyle w:val="ListNumber"/>
      </w:pPr>
      <w:r>
        <w:t>Es begründet, warum die Wirkungsökonomie die SDGs um SDG+ ergänzt.</w:t>
      </w:r>
    </w:p>
    <w:p>
      <w:pPr>
        <w:pStyle w:val="ListNumber"/>
      </w:pPr>
      <w:r>
        <w:t>Es definiert die SDG+-Dimensionen präzise und websitefähig.</w:t>
      </w:r>
    </w:p>
    <w:p>
      <w:pPr>
        <w:pStyle w:val="ListNumber"/>
      </w:pPr>
      <w:r>
        <w:t>Es liefert konkrete Strukturen für Hover-Texte, Glossar, Portalblöcke, WÖk-ID-Verknüpfungen und Online-Volltext.</w:t>
      </w:r>
    </w:p>
    <w:p>
      <w:pPr>
        <w:pStyle w:val="ListNumber"/>
      </w:pPr>
      <w:r>
        <w:t>Es dient als Download-Dokument für die Website und als Arbeitsgrundlage für spätere Scorecards, Tools und Codex-Umsetzungen.</w:t>
      </w:r>
    </w:p>
    <w:p>
      <w:r>
        <w:t>Status: Diskussionsfassung. SDG+ ist eine WÖk-interne Erweiterung und keine offizielle UN-Kategorie. Die offizielle externe Referenz bleibt die Agenda 2030 mit ihren 17 SDGs; SDG+ ergänzt diese um WÖk-spezifische Wirkungsräume.</w:t>
      </w:r>
    </w:p>
    <w:p>
      <w:pPr>
        <w:pStyle w:val="Heading1"/>
      </w:pPr>
      <w:r>
        <w:t>3. Warum die SDGs notwendig, aber nicht ausreichend sind</w:t>
      </w:r>
    </w:p>
    <w:p>
      <w:r>
        <w:t>Die SDGs sind notwendig, weil sie einen gemeinsamen, international anerkannten Zielraum schaffen. Eine Wirkungsökonomie, die Wirkung global, europäisch, national und kommunal anschlussfähig machen will, braucht einen solchen Zielraum. CO2-Emissionen, Wasserstress, Arbeitsrechte, Biodiversität, Lieferketten und Desinformation enden nicht an nationalen Grenzen. Deshalb sind globale Referenzen wichtig.</w:t>
      </w:r>
    </w:p>
    <w:p>
      <w:r>
        <w:t>Die SDGs sind aber nicht vollständig ausreichend, weil sie als Zielkatalog nicht automatisch zu Rückkopplung führen. Ein Unternehmen kann SDG-Icons nutzen und zugleich negative Wirkungen verstecken. Ein Staat kann Fortschrittsberichte veröffentlichen und gleichzeitig Prävention, Bildung, Pflege oder Klimaanpassung unterfinanzieren. Ein digitales Produkt kann Bildung zugänglich machen und zugleich Überwachung, Abhängigkeit oder Manipulation verstärken.</w:t>
      </w:r>
    </w:p>
    <w:p>
      <w:r>
        <w:t>Die Wirkungsökonomie unterscheidet deshalb zwischen Zielbezug und Wirkungsbewertung. Ein SDG-Bezug zeigt, welche Zustandsräume betroffen sind. Die Bewertung erfolgt erst durch Daten, WÖk-IDs, Benchmarks, Scorecards, Nichtkompensation, demokratische Kontrolle und Rückkopplung in Entscheidungen.</w:t>
      </w:r>
    </w:p>
    <w:p>
      <w:pPr>
        <w:pStyle w:val="ListBullet"/>
      </w:pPr>
      <w:r>
        <w:t>Die SDGs sind breit und können symbolisch genutzt werden.</w:t>
      </w:r>
    </w:p>
    <w:p>
      <w:pPr>
        <w:pStyle w:val="ListBullet"/>
      </w:pPr>
      <w:r>
        <w:t>Die SDGs lösen Zielkonflikte nicht automatisch.</w:t>
      </w:r>
    </w:p>
    <w:p>
      <w:pPr>
        <w:pStyle w:val="ListBullet"/>
      </w:pPr>
      <w:r>
        <w:t>Die SDGs sind oft zu schwach in Preise, Steuern, Kapital und Haushalt rückgekoppelt.</w:t>
      </w:r>
    </w:p>
    <w:p>
      <w:pPr>
        <w:pStyle w:val="ListBullet"/>
      </w:pPr>
      <w:r>
        <w:t>Die SDGs behandeln digitale Öffentlichkeit, Plattformmacht, Medienqualität und algorithmische Manipulation nicht tief genug.</w:t>
      </w:r>
    </w:p>
    <w:p>
      <w:pPr>
        <w:pStyle w:val="ListBullet"/>
      </w:pPr>
      <w:r>
        <w:t>Die SDGs brauchen für die WÖk eine Ergänzung um demokratische und digitale Wirkungsbedingungen.</w:t>
      </w:r>
    </w:p>
    <w:p>
      <w:pPr>
        <w:pStyle w:val="Heading1"/>
      </w:pPr>
      <w:r>
        <w:t>4. SDG+ als Erweiterung der Wirkungsökonomie</w:t>
      </w:r>
    </w:p>
    <w:p>
      <w:r>
        <w:t>SDG+ bezeichnet die Wirkungsökonomie-Erweiterung der SDGs um demokratische, mediale, rechtsstaatliche, soziale und digitale Mindestbedingungen. SDG+ ist ausdrücklich kein offizielles UN-Ziel und kein Ersatz für die Agenda 2030. Es ist eine transparente WÖk-Erweiterung, die sichtbar macht, dass nachhaltige Entwicklung nur dann stabil ist, wenn die demokratische und digitale Infrastruktur gesellschaftlicher Korrektur funktioniert.</w:t>
      </w:r>
    </w:p>
    <w:p>
      <w:r>
        <w:t>Die zentrale Begründung lautet: Mensch, Planet und Demokratie sind gekoppelte Mindestbedingungen. Ein zerstörter Planet gefährdet Menschen. Soziale Unsicherheit gefährdet Demokratie. Eine geschwächte Demokratie verhindert ökologische und soziale Korrektur. Desinformation schwächt Gesundheitspolitik, Klimapolitik, Vertrauen und Teilhabe. Digitale Überwachung oder algorithmische Manipulation können scheinbar effiziente Systeme schaffen, aber Freiheit, Würde und Korrekturfähigkeit zerstören.</w:t>
      </w:r>
    </w:p>
    <w:tbl>
      <w:tblPr>
        <w:tblStyle w:val="TableGrid"/>
        <w:tblW w:type="auto" w:w="0"/>
        <w:jc w:val="center"/>
        <w:tblLook w:firstColumn="1" w:firstRow="1" w:lastColumn="0" w:lastRow="0" w:noHBand="0" w:noVBand="1" w:val="04A0"/>
      </w:tblPr>
      <w:tblGrid>
        <w:gridCol w:w="3360"/>
        <w:gridCol w:w="3360"/>
        <w:gridCol w:w="3360"/>
      </w:tblGrid>
      <w:tr>
        <w:tc>
          <w:tcPr>
            <w:tcW w:type="dxa" w:w="2592"/>
            <w:shd w:fill="DDEFE9"/>
            <w:vAlign w:val="top"/>
          </w:tcPr>
          <w:p>
            <w:r/>
            <w:r>
              <w:rPr>
                <w:b/>
                <w:color w:val="101625"/>
              </w:rPr>
              <w:t>SDG+ Ebene</w:t>
            </w:r>
          </w:p>
        </w:tc>
        <w:tc>
          <w:tcPr>
            <w:tcW w:type="dxa" w:w="3456"/>
            <w:shd w:fill="DDEFE9"/>
            <w:vAlign w:val="top"/>
          </w:tcPr>
          <w:p>
            <w:r/>
            <w:r>
              <w:rPr>
                <w:b/>
                <w:color w:val="101625"/>
              </w:rPr>
              <w:t>Wirkungsfrage</w:t>
            </w:r>
          </w:p>
        </w:tc>
        <w:tc>
          <w:tcPr>
            <w:tcW w:type="dxa" w:w="4320"/>
            <w:shd w:fill="DDEFE9"/>
            <w:vAlign w:val="top"/>
          </w:tcPr>
          <w:p>
            <w:r/>
            <w:r>
              <w:rPr>
                <w:b/>
                <w:color w:val="101625"/>
              </w:rPr>
              <w:t>Warum sie nötig ist</w:t>
            </w:r>
          </w:p>
        </w:tc>
      </w:tr>
      <w:tr>
        <w:tc>
          <w:tcPr>
            <w:tcW w:type="dxa" w:w="2592"/>
            <w:vAlign w:val="top"/>
          </w:tcPr>
          <w:p>
            <w:r/>
            <w:r>
              <w:rPr>
                <w:b w:val="0"/>
              </w:rPr>
              <w:t>Demokratie</w:t>
            </w:r>
          </w:p>
        </w:tc>
        <w:tc>
          <w:tcPr>
            <w:tcW w:type="dxa" w:w="3456"/>
            <w:vAlign w:val="top"/>
          </w:tcPr>
          <w:p>
            <w:r/>
            <w:r>
              <w:rPr>
                <w:b w:val="0"/>
              </w:rPr>
              <w:t>Bleibt gesellschaftliche Korrektur möglich?</w:t>
            </w:r>
          </w:p>
        </w:tc>
        <w:tc>
          <w:tcPr>
            <w:tcW w:type="dxa" w:w="4320"/>
            <w:vAlign w:val="top"/>
          </w:tcPr>
          <w:p>
            <w:r/>
            <w:r>
              <w:rPr>
                <w:b w:val="0"/>
              </w:rPr>
              <w:t>Nachhaltigkeit braucht legitime, offene, kontrollierbare Entscheidungen.</w:t>
            </w:r>
          </w:p>
        </w:tc>
      </w:tr>
      <w:tr>
        <w:tc>
          <w:tcPr>
            <w:tcW w:type="dxa" w:w="2592"/>
            <w:vAlign w:val="top"/>
          </w:tcPr>
          <w:p>
            <w:r/>
            <w:r>
              <w:rPr>
                <w:b w:val="0"/>
              </w:rPr>
              <w:t>Medienqualität</w:t>
            </w:r>
          </w:p>
        </w:tc>
        <w:tc>
          <w:tcPr>
            <w:tcW w:type="dxa" w:w="3456"/>
            <w:vAlign w:val="top"/>
          </w:tcPr>
          <w:p>
            <w:r/>
            <w:r>
              <w:rPr>
                <w:b w:val="0"/>
              </w:rPr>
              <w:t>Ist öffentliche Information wahrheitsnah, vielfältig und überprüfbar?</w:t>
            </w:r>
          </w:p>
        </w:tc>
        <w:tc>
          <w:tcPr>
            <w:tcW w:type="dxa" w:w="4320"/>
            <w:vAlign w:val="top"/>
          </w:tcPr>
          <w:p>
            <w:r/>
            <w:r>
              <w:rPr>
                <w:b w:val="0"/>
              </w:rPr>
              <w:t>Ohne Informationsqualität kann Wirkung weder verstanden noch demokratisch korrigiert werden.</w:t>
            </w:r>
          </w:p>
        </w:tc>
      </w:tr>
      <w:tr>
        <w:tc>
          <w:tcPr>
            <w:tcW w:type="dxa" w:w="2592"/>
            <w:vAlign w:val="top"/>
          </w:tcPr>
          <w:p>
            <w:r/>
            <w:r>
              <w:rPr>
                <w:b w:val="0"/>
              </w:rPr>
              <w:t>Rechtsstaatlichkeit</w:t>
            </w:r>
          </w:p>
        </w:tc>
        <w:tc>
          <w:tcPr>
            <w:tcW w:type="dxa" w:w="3456"/>
            <w:vAlign w:val="top"/>
          </w:tcPr>
          <w:p>
            <w:r/>
            <w:r>
              <w:rPr>
                <w:b w:val="0"/>
              </w:rPr>
              <w:t>Sind Macht und Wirkungssteuerung rechtlich begrenzt?</w:t>
            </w:r>
          </w:p>
        </w:tc>
        <w:tc>
          <w:tcPr>
            <w:tcW w:type="dxa" w:w="4320"/>
            <w:vAlign w:val="top"/>
          </w:tcPr>
          <w:p>
            <w:r/>
            <w:r>
              <w:rPr>
                <w:b w:val="0"/>
              </w:rPr>
              <w:t>Daten- und Wirkungssteuerung braucht Grundrechte, Rechtsschutz und Verhältnismäßigkeit.</w:t>
            </w:r>
          </w:p>
        </w:tc>
      </w:tr>
      <w:tr>
        <w:tc>
          <w:tcPr>
            <w:tcW w:type="dxa" w:w="2592"/>
            <w:vAlign w:val="top"/>
          </w:tcPr>
          <w:p>
            <w:r/>
            <w:r>
              <w:rPr>
                <w:b w:val="0"/>
              </w:rPr>
              <w:t>Diskursfähigkeit</w:t>
            </w:r>
          </w:p>
        </w:tc>
        <w:tc>
          <w:tcPr>
            <w:tcW w:type="dxa" w:w="3456"/>
            <w:vAlign w:val="top"/>
          </w:tcPr>
          <w:p>
            <w:r/>
            <w:r>
              <w:rPr>
                <w:b w:val="0"/>
              </w:rPr>
              <w:t>Kann die Gesellschaft Zielkonflikte faktenbasiert austragen?</w:t>
            </w:r>
          </w:p>
        </w:tc>
        <w:tc>
          <w:tcPr>
            <w:tcW w:type="dxa" w:w="4320"/>
            <w:vAlign w:val="top"/>
          </w:tcPr>
          <w:p>
            <w:r/>
            <w:r>
              <w:rPr>
                <w:b w:val="0"/>
              </w:rPr>
              <w:t>Transformation erzeugt Konflikte; ohne Diskursfähigkeit werden sie polarisiert.</w:t>
            </w:r>
          </w:p>
        </w:tc>
      </w:tr>
      <w:tr>
        <w:tc>
          <w:tcPr>
            <w:tcW w:type="dxa" w:w="2592"/>
            <w:vAlign w:val="top"/>
          </w:tcPr>
          <w:p>
            <w:r/>
            <w:r>
              <w:rPr>
                <w:b w:val="0"/>
              </w:rPr>
              <w:t>Institutionelles Vertrauen</w:t>
            </w:r>
          </w:p>
        </w:tc>
        <w:tc>
          <w:tcPr>
            <w:tcW w:type="dxa" w:w="3456"/>
            <w:vAlign w:val="top"/>
          </w:tcPr>
          <w:p>
            <w:r/>
            <w:r>
              <w:rPr>
                <w:b w:val="0"/>
              </w:rPr>
              <w:t>Sind Institutionen fair, kompetent und korrigierbar?</w:t>
            </w:r>
          </w:p>
        </w:tc>
        <w:tc>
          <w:tcPr>
            <w:tcW w:type="dxa" w:w="4320"/>
            <w:vAlign w:val="top"/>
          </w:tcPr>
          <w:p>
            <w:r/>
            <w:r>
              <w:rPr>
                <w:b w:val="0"/>
              </w:rPr>
              <w:t>Wirkungsdaten und Steuerung brauchen Vertrauen in Verfahren.</w:t>
            </w:r>
          </w:p>
        </w:tc>
      </w:tr>
      <w:tr>
        <w:tc>
          <w:tcPr>
            <w:tcW w:type="dxa" w:w="2592"/>
            <w:vAlign w:val="top"/>
          </w:tcPr>
          <w:p>
            <w:r/>
            <w:r>
              <w:rPr>
                <w:b w:val="0"/>
              </w:rPr>
              <w:t>Gesellschaftlicher Zusammenhalt</w:t>
            </w:r>
          </w:p>
        </w:tc>
        <w:tc>
          <w:tcPr>
            <w:tcW w:type="dxa" w:w="3456"/>
            <w:vAlign w:val="top"/>
          </w:tcPr>
          <w:p>
            <w:r/>
            <w:r>
              <w:rPr>
                <w:b w:val="0"/>
              </w:rPr>
              <w:t>Bleibt Gesellschaft als gemeinsamer Wirkungsraum tragfähig?</w:t>
            </w:r>
          </w:p>
        </w:tc>
        <w:tc>
          <w:tcPr>
            <w:tcW w:type="dxa" w:w="4320"/>
            <w:vAlign w:val="top"/>
          </w:tcPr>
          <w:p>
            <w:r/>
            <w:r>
              <w:rPr>
                <w:b w:val="0"/>
              </w:rPr>
              <w:t>Teilhabe, Zugehörigkeit und Sicherheit verhindern Spaltung.</w:t>
            </w:r>
          </w:p>
        </w:tc>
      </w:tr>
      <w:tr>
        <w:tc>
          <w:tcPr>
            <w:tcW w:type="dxa" w:w="2592"/>
            <w:vAlign w:val="top"/>
          </w:tcPr>
          <w:p>
            <w:r/>
            <w:r>
              <w:rPr>
                <w:b w:val="0"/>
              </w:rPr>
              <w:t>Digitale Selbstbestimmung</w:t>
            </w:r>
          </w:p>
        </w:tc>
        <w:tc>
          <w:tcPr>
            <w:tcW w:type="dxa" w:w="3456"/>
            <w:vAlign w:val="top"/>
          </w:tcPr>
          <w:p>
            <w:r/>
            <w:r>
              <w:rPr>
                <w:b w:val="0"/>
              </w:rPr>
              <w:t>Können Menschen digitale Räume souverän nutzen?</w:t>
            </w:r>
          </w:p>
        </w:tc>
        <w:tc>
          <w:tcPr>
            <w:tcW w:type="dxa" w:w="4320"/>
            <w:vAlign w:val="top"/>
          </w:tcPr>
          <w:p>
            <w:r/>
            <w:r>
              <w:rPr>
                <w:b w:val="0"/>
              </w:rPr>
              <w:t>Daten, KI und Plattformen prägen heute Freiheit, Konsum, Arbeit, Bildung und Demokratie.</w:t>
            </w:r>
          </w:p>
        </w:tc>
      </w:tr>
    </w:tbl>
    <w:p/>
    <w:p>
      <w:pPr>
        <w:pStyle w:val="Heading1"/>
      </w:pPr>
      <w:r>
        <w:t>5. Die sieben SDG+-Dimensionen im Überblick</w:t>
      </w:r>
    </w:p>
    <w:tbl>
      <w:tblPr>
        <w:tblStyle w:val="TableGrid"/>
        <w:tblW w:type="auto" w:w="0"/>
        <w:jc w:val="center"/>
        <w:tblLook w:firstColumn="1" w:firstRow="1" w:lastColumn="0" w:lastRow="0" w:noHBand="0" w:noVBand="1" w:val="04A0"/>
      </w:tblPr>
      <w:tblGrid>
        <w:gridCol w:w="3360"/>
        <w:gridCol w:w="3360"/>
        <w:gridCol w:w="3360"/>
      </w:tblGrid>
      <w:tr>
        <w:tc>
          <w:tcPr>
            <w:tcW w:type="dxa" w:w="2448"/>
            <w:shd w:fill="DDEFE9"/>
            <w:vAlign w:val="top"/>
          </w:tcPr>
          <w:p>
            <w:r/>
            <w:r>
              <w:rPr>
                <w:b/>
                <w:color w:val="101625"/>
              </w:rPr>
              <w:t>Dimension</w:t>
            </w:r>
          </w:p>
        </w:tc>
        <w:tc>
          <w:tcPr>
            <w:tcW w:type="dxa" w:w="5184"/>
            <w:shd w:fill="DDEFE9"/>
            <w:vAlign w:val="top"/>
          </w:tcPr>
          <w:p>
            <w:r/>
            <w:r>
              <w:rPr>
                <w:b/>
                <w:color w:val="101625"/>
              </w:rPr>
              <w:t>Kurzdefinition</w:t>
            </w:r>
          </w:p>
        </w:tc>
        <w:tc>
          <w:tcPr>
            <w:tcW w:type="dxa" w:w="2880"/>
            <w:shd w:fill="DDEFE9"/>
            <w:vAlign w:val="top"/>
          </w:tcPr>
          <w:p>
            <w:r/>
            <w:r>
              <w:rPr>
                <w:b/>
                <w:color w:val="101625"/>
              </w:rPr>
              <w:t>Wichtige Wirkungsfelder</w:t>
            </w:r>
          </w:p>
        </w:tc>
      </w:tr>
      <w:tr>
        <w:tc>
          <w:tcPr>
            <w:tcW w:type="dxa" w:w="2448"/>
            <w:vAlign w:val="top"/>
          </w:tcPr>
          <w:p>
            <w:r/>
            <w:r>
              <w:rPr>
                <w:b w:val="0"/>
              </w:rPr>
              <w:t>SDG+ Demokratie</w:t>
            </w:r>
          </w:p>
        </w:tc>
        <w:tc>
          <w:tcPr>
            <w:tcW w:type="dxa" w:w="5184"/>
            <w:vAlign w:val="top"/>
          </w:tcPr>
          <w:p>
            <w:r/>
            <w:r>
              <w:rPr>
                <w:b w:val="0"/>
              </w:rPr>
              <w:t>Demokratische Stabilitaet, Teilhabe, Streitfaehigkeit, Minderheitenschutz und Korrekturfaehigkeit als Voraussetzung positiver Netto-Wirkung.</w:t>
            </w:r>
          </w:p>
        </w:tc>
        <w:tc>
          <w:tcPr>
            <w:tcW w:type="dxa" w:w="2880"/>
            <w:vAlign w:val="top"/>
          </w:tcPr>
          <w:p>
            <w:r/>
            <w:r>
              <w:rPr>
                <w:b w:val="0"/>
              </w:rPr>
              <w:t>Staat, Recht &amp; Demokratie, Medien &amp; Öffentlichkeit, Bildung</w:t>
            </w:r>
          </w:p>
        </w:tc>
      </w:tr>
      <w:tr>
        <w:tc>
          <w:tcPr>
            <w:tcW w:type="dxa" w:w="2448"/>
            <w:vAlign w:val="top"/>
          </w:tcPr>
          <w:p>
            <w:r/>
            <w:r>
              <w:rPr>
                <w:b w:val="0"/>
              </w:rPr>
              <w:t>SDG+ Medienqualität</w:t>
            </w:r>
          </w:p>
        </w:tc>
        <w:tc>
          <w:tcPr>
            <w:tcW w:type="dxa" w:w="5184"/>
            <w:vAlign w:val="top"/>
          </w:tcPr>
          <w:p>
            <w:r/>
            <w:r>
              <w:rPr>
                <w:b w:val="0"/>
              </w:rPr>
              <w:t>Qualität öffentlicher Information, journalistische Verantwortung, Quellenklarheit und Schutz vor Desinformation.</w:t>
            </w:r>
          </w:p>
        </w:tc>
        <w:tc>
          <w:tcPr>
            <w:tcW w:type="dxa" w:w="2880"/>
            <w:vAlign w:val="top"/>
          </w:tcPr>
          <w:p>
            <w:r/>
            <w:r>
              <w:rPr>
                <w:b w:val="0"/>
              </w:rPr>
              <w:t>Medien &amp; Öffentlichkeit, Staat, Recht &amp; Demokratie, Bildung</w:t>
            </w:r>
          </w:p>
        </w:tc>
      </w:tr>
      <w:tr>
        <w:tc>
          <w:tcPr>
            <w:tcW w:type="dxa" w:w="2448"/>
            <w:vAlign w:val="top"/>
          </w:tcPr>
          <w:p>
            <w:r/>
            <w:r>
              <w:rPr>
                <w:b w:val="0"/>
              </w:rPr>
              <w:t>SDG+ Rechtsstaatlichkeit</w:t>
            </w:r>
          </w:p>
        </w:tc>
        <w:tc>
          <w:tcPr>
            <w:tcW w:type="dxa" w:w="5184"/>
            <w:vAlign w:val="top"/>
          </w:tcPr>
          <w:p>
            <w:r/>
            <w:r>
              <w:rPr>
                <w:b w:val="0"/>
              </w:rPr>
              <w:t>Verlässliche Regeln, Grundrechte, unabhängige Gerichte, Zugang zu Recht und Schutz vor Willkür.</w:t>
            </w:r>
          </w:p>
        </w:tc>
        <w:tc>
          <w:tcPr>
            <w:tcW w:type="dxa" w:w="2880"/>
            <w:vAlign w:val="top"/>
          </w:tcPr>
          <w:p>
            <w:r/>
            <w:r>
              <w:rPr>
                <w:b w:val="0"/>
              </w:rPr>
              <w:t>Staat, Recht &amp; Demokratie, Werkzeuge: Wirkungssteuergesetz, Medien &amp; Öffentlichkeit</w:t>
            </w:r>
          </w:p>
        </w:tc>
      </w:tr>
      <w:tr>
        <w:tc>
          <w:tcPr>
            <w:tcW w:type="dxa" w:w="2448"/>
            <w:vAlign w:val="top"/>
          </w:tcPr>
          <w:p>
            <w:r/>
            <w:r>
              <w:rPr>
                <w:b w:val="0"/>
              </w:rPr>
              <w:t>SDG+ Diskursfähigkeit</w:t>
            </w:r>
          </w:p>
        </w:tc>
        <w:tc>
          <w:tcPr>
            <w:tcW w:type="dxa" w:w="5184"/>
            <w:vAlign w:val="top"/>
          </w:tcPr>
          <w:p>
            <w:r/>
            <w:r>
              <w:rPr>
                <w:b w:val="0"/>
              </w:rPr>
              <w:t>Die Fähigkeit einer Gesellschaft, Konflikte faktenbasiert, respektvoll und demokratisch zu bearbeiten.</w:t>
            </w:r>
          </w:p>
        </w:tc>
        <w:tc>
          <w:tcPr>
            <w:tcW w:type="dxa" w:w="2880"/>
            <w:vAlign w:val="top"/>
          </w:tcPr>
          <w:p>
            <w:r/>
            <w:r>
              <w:rPr>
                <w:b w:val="0"/>
              </w:rPr>
              <w:t>Medien &amp; Öffentlichkeit, Bildung, Staat, Recht &amp; Demokratie</w:t>
            </w:r>
          </w:p>
        </w:tc>
      </w:tr>
      <w:tr>
        <w:tc>
          <w:tcPr>
            <w:tcW w:type="dxa" w:w="2448"/>
            <w:vAlign w:val="top"/>
          </w:tcPr>
          <w:p>
            <w:r/>
            <w:r>
              <w:rPr>
                <w:b w:val="0"/>
              </w:rPr>
              <w:t>SDG+ institutionelles Vertrauen</w:t>
            </w:r>
          </w:p>
        </w:tc>
        <w:tc>
          <w:tcPr>
            <w:tcW w:type="dxa" w:w="5184"/>
            <w:vAlign w:val="top"/>
          </w:tcPr>
          <w:p>
            <w:r/>
            <w:r>
              <w:rPr>
                <w:b w:val="0"/>
              </w:rPr>
              <w:t>Vertrauen in Institutionen, Verfahren, Datenqualität, Transparenz und demokratische Korrekturmechanismen.</w:t>
            </w:r>
          </w:p>
        </w:tc>
        <w:tc>
          <w:tcPr>
            <w:tcW w:type="dxa" w:w="2880"/>
            <w:vAlign w:val="top"/>
          </w:tcPr>
          <w:p>
            <w:r/>
            <w:r>
              <w:rPr>
                <w:b w:val="0"/>
              </w:rPr>
              <w:t>Staat, Recht &amp; Demokratie, Gesundheit &amp; Pflege, Wohnen &amp; Stadt</w:t>
            </w:r>
          </w:p>
        </w:tc>
      </w:tr>
      <w:tr>
        <w:tc>
          <w:tcPr>
            <w:tcW w:type="dxa" w:w="2448"/>
            <w:vAlign w:val="top"/>
          </w:tcPr>
          <w:p>
            <w:r/>
            <w:r>
              <w:rPr>
                <w:b w:val="0"/>
              </w:rPr>
              <w:t>SDG+ gesellschaftlicher Zusammenhalt</w:t>
            </w:r>
          </w:p>
        </w:tc>
        <w:tc>
          <w:tcPr>
            <w:tcW w:type="dxa" w:w="5184"/>
            <w:vAlign w:val="top"/>
          </w:tcPr>
          <w:p>
            <w:r/>
            <w:r>
              <w:rPr>
                <w:b w:val="0"/>
              </w:rPr>
              <w:t>Soziale Bindung, Zugehörigkeit, Teilhabe, Sicherheit, Fairness und Schutz vor Spaltung.</w:t>
            </w:r>
          </w:p>
        </w:tc>
        <w:tc>
          <w:tcPr>
            <w:tcW w:type="dxa" w:w="2880"/>
            <w:vAlign w:val="top"/>
          </w:tcPr>
          <w:p>
            <w:r/>
            <w:r>
              <w:rPr>
                <w:b w:val="0"/>
              </w:rPr>
              <w:t>Wohnen &amp; Stadt, Gesundheit &amp; Pflege, Bildung</w:t>
            </w:r>
          </w:p>
        </w:tc>
      </w:tr>
      <w:tr>
        <w:tc>
          <w:tcPr>
            <w:tcW w:type="dxa" w:w="2448"/>
            <w:vAlign w:val="top"/>
          </w:tcPr>
          <w:p>
            <w:r/>
            <w:r>
              <w:rPr>
                <w:b w:val="0"/>
              </w:rPr>
              <w:t>SDG+ digitale Selbstbestimmung</w:t>
            </w:r>
          </w:p>
        </w:tc>
        <w:tc>
          <w:tcPr>
            <w:tcW w:type="dxa" w:w="5184"/>
            <w:vAlign w:val="top"/>
          </w:tcPr>
          <w:p>
            <w:r/>
            <w:r>
              <w:rPr>
                <w:b w:val="0"/>
              </w:rPr>
              <w:t>Schutz vor Manipulation, Datenrechte, algorithmische Fairness, digitale Teilhabe und souveräne Nutzung digitaler Räume.</w:t>
            </w:r>
          </w:p>
        </w:tc>
        <w:tc>
          <w:tcPr>
            <w:tcW w:type="dxa" w:w="2880"/>
            <w:vAlign w:val="top"/>
          </w:tcPr>
          <w:p>
            <w:r/>
            <w:r>
              <w:rPr>
                <w:b w:val="0"/>
              </w:rPr>
              <w:t>Wissenschaft, Innovation &amp; Digitalisierung, Medien &amp; Öffentlichkeit, Bildung</w:t>
            </w:r>
          </w:p>
        </w:tc>
      </w:tr>
    </w:tbl>
    <w:p/>
    <w:p>
      <w:pPr>
        <w:pStyle w:val="Heading1"/>
      </w:pPr>
      <w:r>
        <w:t>6. Detailkapitel zu allen SDG+-Dimensionen</w:t>
      </w:r>
    </w:p>
    <w:p>
      <w:pPr>
        <w:pStyle w:val="Heading2"/>
      </w:pPr>
      <w:r>
        <w:t>6.1 SDG+ Demokratie</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Demokratie macht demokratische Stabilitaet, Teilhabe, Streitfaehigkeit und Korrekturfaehigkeit als Wirkungsbedingung sichtbar.</w:t>
            </w:r>
          </w:p>
        </w:tc>
      </w:tr>
    </w:tbl>
    <w:p/>
    <w:p>
      <w:r>
        <w:rPr>
          <w:b/>
        </w:rPr>
        <w:t>Definition:</w:t>
      </w:r>
      <w:r>
        <w:t xml:space="preserve"> Demokratie meint in der Wirkungsökonomie mehr als Wahlen und Institutionen. Sie ist ein Wirkungsraum, in dem Wahrheit, Rechtsstaatlichkeit, Beteiligung, Machtbegrenzung, Minderheitenschutz, öffentliche Korrektur und digitale Selbstbestimmung zusammenwirken.</w:t>
      </w:r>
    </w:p>
    <w:p>
      <w:r>
        <w:rPr>
          <w:b/>
        </w:rPr>
        <w:t>Warum diese Dimension nötig ist:</w:t>
      </w:r>
      <w:r>
        <w:t xml:space="preserve"> Die SDGs enthalten mit SDG 16 zwar Frieden, Gerechtigkeit und starke Institutionen. Für eine Wirkungsordnung des 21. Jahrhunderts reicht das aber nicht aus. Digitale Öffentlichkeit, Plattformmacht, Desinformation, algorithmische Steuerung, hybride Einflussnahme und Vertrauensverlust können demokratische Korrekturfähigkeit zerstören, ohne dass klassische Nachhaltigkeitsindikatoren dies ausreichend sichtbar machen.</w:t>
      </w:r>
    </w:p>
    <w:p>
      <w:r>
        <w:rPr>
          <w:b/>
        </w:rPr>
        <w:t>Anschluss an offizielle SDGs:</w:t>
      </w:r>
      <w:r>
        <w:t xml:space="preserve"> SDG 16 ist der direkte Anschluss. SDG 4, SDG 10, SDG 11 und SDG 17 sind wichtige Nebenanker, weil Bildung, Ungleichheit, lokale Räume und Partnerschaften demokratische Teilhabe prägen.</w:t>
      </w:r>
    </w:p>
    <w:p>
      <w:pPr>
        <w:pStyle w:val="Heading3"/>
      </w:pPr>
      <w:r>
        <w:t>Unterdimensionen</w:t>
      </w:r>
    </w:p>
    <w:p>
      <w:pPr>
        <w:pStyle w:val="ListBullet"/>
      </w:pPr>
      <w:r>
        <w:t>freie und faire Wahlen</w:t>
      </w:r>
    </w:p>
    <w:p>
      <w:pPr>
        <w:pStyle w:val="ListBullet"/>
      </w:pPr>
      <w:r>
        <w:t>Machtbegrenzung und Gewaltenteilung</w:t>
      </w:r>
    </w:p>
    <w:p>
      <w:pPr>
        <w:pStyle w:val="ListBullet"/>
      </w:pPr>
      <w:r>
        <w:t>Beteiligung und Teilgabe</w:t>
      </w:r>
    </w:p>
    <w:p>
      <w:pPr>
        <w:pStyle w:val="ListBullet"/>
      </w:pPr>
      <w:r>
        <w:t>Minderheitenschutz und Grundrechte</w:t>
      </w:r>
    </w:p>
    <w:p>
      <w:pPr>
        <w:pStyle w:val="ListBullet"/>
      </w:pPr>
      <w:r>
        <w:t>demokratische Streitfaehigkeit</w:t>
      </w:r>
    </w:p>
    <w:p>
      <w:pPr>
        <w:pStyle w:val="ListBullet"/>
      </w:pPr>
      <w:r>
        <w:t>Schutz vor Desinformation und Manipulation</w:t>
      </w:r>
    </w:p>
    <w:p>
      <w:pPr>
        <w:pStyle w:val="ListBullet"/>
      </w:pPr>
      <w:r>
        <w:t>politische Transparenz und Rechenschaft</w:t>
      </w:r>
    </w:p>
    <w:p>
      <w:pPr>
        <w:pStyle w:val="ListBullet"/>
      </w:pPr>
      <w:r>
        <w:t>demokratische Resilienz in Krisen</w:t>
      </w:r>
    </w:p>
    <w:p>
      <w:pPr>
        <w:pStyle w:val="Heading3"/>
      </w:pPr>
      <w:r>
        <w:t>Mögliche Indikator- und WÖk-ID-Familien</w:t>
      </w:r>
    </w:p>
    <w:p>
      <w:pPr>
        <w:pStyle w:val="ListBullet"/>
      </w:pPr>
      <w:r>
        <w:t>Wahlfreiheit und Wahlfairness</w:t>
      </w:r>
    </w:p>
    <w:p>
      <w:pPr>
        <w:pStyle w:val="ListBullet"/>
      </w:pPr>
      <w:r>
        <w:t>Beteiligungsquoten und Zugangsbarrieren</w:t>
      </w:r>
    </w:p>
    <w:p>
      <w:pPr>
        <w:pStyle w:val="ListBullet"/>
      </w:pPr>
      <w:r>
        <w:t>Transparenz politischer Finanzierung</w:t>
      </w:r>
    </w:p>
    <w:p>
      <w:pPr>
        <w:pStyle w:val="ListBullet"/>
      </w:pPr>
      <w:r>
        <w:t>Qualitaet öffentlicher Konsultationen</w:t>
      </w:r>
    </w:p>
    <w:p>
      <w:pPr>
        <w:pStyle w:val="ListBullet"/>
      </w:pPr>
      <w:r>
        <w:t>Desinformations- und Manipulationsrisiken</w:t>
      </w:r>
    </w:p>
    <w:p>
      <w:pPr>
        <w:pStyle w:val="ListBullet"/>
      </w:pPr>
      <w:r>
        <w:t>Vertrauen in demokratische Verfahren</w:t>
      </w:r>
    </w:p>
    <w:p>
      <w:pPr>
        <w:pStyle w:val="ListBullet"/>
      </w:pPr>
      <w:r>
        <w:t>Schutz von Minderheiten und zivilgesellschaftlichem Raum</w:t>
      </w:r>
    </w:p>
    <w:p>
      <w:pPr>
        <w:pStyle w:val="Heading3"/>
      </w:pPr>
      <w:r>
        <w:t>Konkrete Bedeutung in Wirkungsfeldern</w:t>
      </w:r>
    </w:p>
    <w:p>
      <w:pPr>
        <w:pStyle w:val="ListBullet"/>
      </w:pPr>
      <w:r>
        <w:t>Staat, Recht &amp; Demokratie</w:t>
      </w:r>
    </w:p>
    <w:p>
      <w:pPr>
        <w:pStyle w:val="ListBullet"/>
      </w:pPr>
      <w:r>
        <w:t>Medien &amp; Öffentlichkeit</w:t>
      </w:r>
    </w:p>
    <w:p>
      <w:pPr>
        <w:pStyle w:val="ListBullet"/>
      </w:pPr>
      <w:r>
        <w:t>Bildung</w:t>
      </w:r>
    </w:p>
    <w:p>
      <w:pPr>
        <w:pStyle w:val="ListBullet"/>
      </w:pPr>
      <w:r>
        <w:t>Wissenschaft, Innovation &amp; Digitalisierung</w:t>
      </w:r>
    </w:p>
    <w:p>
      <w:pPr>
        <w:pStyle w:val="ListBullet"/>
      </w:pPr>
      <w:r>
        <w:t>Kultur, Identitaet &amp; Resonanz</w:t>
      </w:r>
    </w:p>
    <w:p>
      <w:pPr>
        <w:pStyle w:val="Heading3"/>
      </w:pPr>
      <w:r>
        <w:t>Kontextbezogene Werkzeuge</w:t>
      </w:r>
    </w:p>
    <w:p>
      <w:pPr>
        <w:pStyle w:val="ListBullet"/>
      </w:pPr>
      <w:r>
        <w:t>Wirkungsrat</w:t>
      </w:r>
    </w:p>
    <w:p>
      <w:pPr>
        <w:pStyle w:val="ListBullet"/>
      </w:pPr>
      <w:r>
        <w:t>Wirkungshaushalt</w:t>
      </w:r>
    </w:p>
    <w:p>
      <w:pPr>
        <w:pStyle w:val="ListBullet"/>
      </w:pPr>
      <w:r>
        <w:t>WÖk-IDs</w:t>
      </w:r>
    </w:p>
    <w:p>
      <w:pPr>
        <w:pStyle w:val="ListBullet"/>
      </w:pPr>
      <w:r>
        <w:t>Medienwirkungscheck</w:t>
      </w:r>
    </w:p>
    <w:p>
      <w:pPr>
        <w:pStyle w:val="ListBullet"/>
      </w:pPr>
      <w:r>
        <w:t>Wirkungsprüfung politischer Sprache</w:t>
      </w:r>
    </w:p>
    <w:p>
      <w:pPr>
        <w:pStyle w:val="Heading3"/>
      </w:pPr>
      <w:r>
        <w:t>Wirkungsgrenzen und rote Linien</w:t>
      </w:r>
    </w:p>
    <w:p>
      <w:pPr>
        <w:pStyle w:val="ListBullet"/>
      </w:pPr>
      <w:r>
        <w:t>Wahlmanipulation</w:t>
      </w:r>
    </w:p>
    <w:p>
      <w:pPr>
        <w:pStyle w:val="ListBullet"/>
      </w:pPr>
      <w:r>
        <w:t>systematische Einschuechterung politischer Gegner:innen</w:t>
      </w:r>
    </w:p>
    <w:p>
      <w:pPr>
        <w:pStyle w:val="ListBullet"/>
      </w:pPr>
      <w:r>
        <w:t>Abbau unabhängiger Gerichte</w:t>
      </w:r>
    </w:p>
    <w:p>
      <w:pPr>
        <w:pStyle w:val="ListBullet"/>
      </w:pPr>
      <w:r>
        <w:t>staatlich organisierte Desinformation</w:t>
      </w:r>
    </w:p>
    <w:p>
      <w:pPr>
        <w:pStyle w:val="ListBullet"/>
      </w:pPr>
      <w:r>
        <w:t>Ausschluss von Minderheiten aus Teilhabe</w:t>
      </w:r>
    </w:p>
    <w:p>
      <w:r>
        <w:t>Website-Hinweis: Diese Dimension soll auf der SDG-/SDG+-Referenzseite als eigener Ankerbereich erscheinen, nicht als separate SDG+-Einzelseite. Der Chip verlinkt auf den Anker #sdgplus-demokratie.</w:t>
      </w:r>
    </w:p>
    <w:p>
      <w:pPr>
        <w:pStyle w:val="Heading2"/>
      </w:pPr>
      <w:r>
        <w:t>6.2 SDG+ Medienqualität</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Medienqualität bewertet öffentliche Informationsräume: Quellenklarheit, journalistische Verantwortung, Desinformationsschutz und demokratische Orientierung.</w:t>
            </w:r>
          </w:p>
        </w:tc>
      </w:tr>
    </w:tbl>
    <w:p/>
    <w:p>
      <w:r>
        <w:rPr>
          <w:b/>
        </w:rPr>
        <w:t>Definition:</w:t>
      </w:r>
      <w:r>
        <w:t xml:space="preserve"> Medienqualität bezeichnet die Fähigkeit öffentlicher Informationsräume, überprüfbare, vielfältige, relevante und kontextualisierte Informationen bereitzustellen, ohne Aufmerksamkeit systematisch gegen Wahrheit, Würde oder Demokratie auszuspielen.</w:t>
      </w:r>
    </w:p>
    <w:p>
      <w:r>
        <w:rPr>
          <w:b/>
        </w:rPr>
        <w:t>Warum diese Dimension nötig ist:</w:t>
      </w:r>
      <w:r>
        <w:t xml:space="preserve"> Reichweite ist keine Orientierung. Ein Medium oder eine Plattform kann hohe Aufmerksamkeit erzeugen und zugleich Vertrauen, Gesundheit, Demokratie oder Minderheitenschutz schwächen. Die klassische SDG-Systematik adressiert Informationsqualität nur indirekt. Für die Wirkungsökonomie ist Medienqualität eine Voraussetzung dafür, dass Gesellschaften überhaupt lern- und korrekturfähig bleiben.</w:t>
      </w:r>
    </w:p>
    <w:p>
      <w:r>
        <w:rPr>
          <w:b/>
        </w:rPr>
        <w:t>Anschluss an offizielle SDGs:</w:t>
      </w:r>
      <w:r>
        <w:t xml:space="preserve"> SDG 16 ist der institutionelle Anker. SDG 4 ist relevant für Medienbildung. SDG 10 und SDG 17 betreffen Zugang und Kooperation. SDG+ Medienqualität präzisiert diesen Raum.</w:t>
      </w:r>
    </w:p>
    <w:p>
      <w:pPr>
        <w:pStyle w:val="Heading3"/>
      </w:pPr>
      <w:r>
        <w:t>Unterdimensionen</w:t>
      </w:r>
    </w:p>
    <w:p>
      <w:pPr>
        <w:pStyle w:val="ListBullet"/>
      </w:pPr>
      <w:r>
        <w:t>Quellenklarheit und Transparenz</w:t>
      </w:r>
    </w:p>
    <w:p>
      <w:pPr>
        <w:pStyle w:val="ListBullet"/>
      </w:pPr>
      <w:r>
        <w:t>journalistische Sorgfalt</w:t>
      </w:r>
    </w:p>
    <w:p>
      <w:pPr>
        <w:pStyle w:val="ListBullet"/>
      </w:pPr>
      <w:r>
        <w:t>redaktionelle Unabhängigkeit</w:t>
      </w:r>
    </w:p>
    <w:p>
      <w:pPr>
        <w:pStyle w:val="ListBullet"/>
      </w:pPr>
      <w:r>
        <w:t>Faktenprüfung und Korrekturmechanismen</w:t>
      </w:r>
    </w:p>
    <w:p>
      <w:pPr>
        <w:pStyle w:val="ListBullet"/>
      </w:pPr>
      <w:r>
        <w:t>Pluralität und Perspektivenvielfalt</w:t>
      </w:r>
    </w:p>
    <w:p>
      <w:pPr>
        <w:pStyle w:val="ListBullet"/>
      </w:pPr>
      <w:r>
        <w:t>Schutz vor Desinformation</w:t>
      </w:r>
    </w:p>
    <w:p>
      <w:pPr>
        <w:pStyle w:val="ListBullet"/>
      </w:pPr>
      <w:r>
        <w:t>algorithmische Verstärkungslogiken</w:t>
      </w:r>
    </w:p>
    <w:p>
      <w:pPr>
        <w:pStyle w:val="ListBullet"/>
      </w:pPr>
      <w:r>
        <w:t>ökonomische Unabhängigkeit von Qualitätsjournalismus</w:t>
      </w:r>
    </w:p>
    <w:p>
      <w:pPr>
        <w:pStyle w:val="Heading3"/>
      </w:pPr>
      <w:r>
        <w:t>Mögliche Indikator- und WÖk-ID-Familien</w:t>
      </w:r>
    </w:p>
    <w:p>
      <w:pPr>
        <w:pStyle w:val="ListBullet"/>
      </w:pPr>
      <w:r>
        <w:t>Anteil belegter Quellen</w:t>
      </w:r>
    </w:p>
    <w:p>
      <w:pPr>
        <w:pStyle w:val="ListBullet"/>
      </w:pPr>
      <w:r>
        <w:t>Korrekturrate und Korrekturtransparenz</w:t>
      </w:r>
    </w:p>
    <w:p>
      <w:pPr>
        <w:pStyle w:val="ListBullet"/>
      </w:pPr>
      <w:r>
        <w:t>Eigentümer- und Finanzierungsstrukturen</w:t>
      </w:r>
    </w:p>
    <w:p>
      <w:pPr>
        <w:pStyle w:val="ListBullet"/>
      </w:pPr>
      <w:r>
        <w:t>Desinformations-Viralität</w:t>
      </w:r>
    </w:p>
    <w:p>
      <w:pPr>
        <w:pStyle w:val="ListBullet"/>
      </w:pPr>
      <w:r>
        <w:t>Vielfalt der Quellen und Stimmen</w:t>
      </w:r>
    </w:p>
    <w:p>
      <w:pPr>
        <w:pStyle w:val="ListBullet"/>
      </w:pPr>
      <w:r>
        <w:t>Trennung von Werbung, Meinung und Nachricht</w:t>
      </w:r>
    </w:p>
    <w:p>
      <w:pPr>
        <w:pStyle w:val="ListBullet"/>
      </w:pPr>
      <w:r>
        <w:t>Verfügbarkeit lokaler und gemeinwohlorientierter Medien</w:t>
      </w:r>
    </w:p>
    <w:p>
      <w:pPr>
        <w:pStyle w:val="Heading3"/>
      </w:pPr>
      <w:r>
        <w:t>Konkrete Bedeutung in Wirkungsfeldern</w:t>
      </w:r>
    </w:p>
    <w:p>
      <w:pPr>
        <w:pStyle w:val="ListBullet"/>
      </w:pPr>
      <w:r>
        <w:t>Medien &amp; Öffentlichkeit</w:t>
      </w:r>
    </w:p>
    <w:p>
      <w:pPr>
        <w:pStyle w:val="ListBullet"/>
      </w:pPr>
      <w:r>
        <w:t>Staat, Recht &amp; Demokratie</w:t>
      </w:r>
    </w:p>
    <w:p>
      <w:pPr>
        <w:pStyle w:val="ListBullet"/>
      </w:pPr>
      <w:r>
        <w:t>Bildung</w:t>
      </w:r>
    </w:p>
    <w:p>
      <w:pPr>
        <w:pStyle w:val="ListBullet"/>
      </w:pPr>
      <w:r>
        <w:t>Wissenschaft, Innovation &amp; Digitalisierung</w:t>
      </w:r>
    </w:p>
    <w:p>
      <w:pPr>
        <w:pStyle w:val="Heading3"/>
      </w:pPr>
      <w:r>
        <w:t>Kontextbezogene Werkzeuge</w:t>
      </w:r>
    </w:p>
    <w:p>
      <w:pPr>
        <w:pStyle w:val="ListBullet"/>
      </w:pPr>
      <w:r>
        <w:t>Medienwirkungscheck</w:t>
      </w:r>
    </w:p>
    <w:p>
      <w:pPr>
        <w:pStyle w:val="ListBullet"/>
      </w:pPr>
      <w:r>
        <w:t>Sprachwirkungsanalyse</w:t>
      </w:r>
    </w:p>
    <w:p>
      <w:pPr>
        <w:pStyle w:val="ListBullet"/>
      </w:pPr>
      <w:r>
        <w:t>Quellenklarheits-Tool</w:t>
      </w:r>
    </w:p>
    <w:p>
      <w:pPr>
        <w:pStyle w:val="ListBullet"/>
      </w:pPr>
      <w:r>
        <w:t>WÖk-IDs</w:t>
      </w:r>
    </w:p>
    <w:p>
      <w:pPr>
        <w:pStyle w:val="ListBullet"/>
      </w:pPr>
      <w:r>
        <w:t>Agentur für Digitale Öffentlichkeit</w:t>
      </w:r>
    </w:p>
    <w:p>
      <w:pPr>
        <w:pStyle w:val="Heading3"/>
      </w:pPr>
      <w:r>
        <w:t>Wirkungsgrenzen und rote Linien</w:t>
      </w:r>
    </w:p>
    <w:p>
      <w:pPr>
        <w:pStyle w:val="ListBullet"/>
      </w:pPr>
      <w:r>
        <w:t>koordinierte Desinformation</w:t>
      </w:r>
    </w:p>
    <w:p>
      <w:pPr>
        <w:pStyle w:val="ListBullet"/>
      </w:pPr>
      <w:r>
        <w:t>nicht gekennzeichnete politische Werbung</w:t>
      </w:r>
    </w:p>
    <w:p>
      <w:pPr>
        <w:pStyle w:val="ListBullet"/>
      </w:pPr>
      <w:r>
        <w:t>systematische Verleumdung von Gruppen</w:t>
      </w:r>
    </w:p>
    <w:p>
      <w:pPr>
        <w:pStyle w:val="ListBullet"/>
      </w:pPr>
      <w:r>
        <w:t>Gewaltaufrufe</w:t>
      </w:r>
    </w:p>
    <w:p>
      <w:pPr>
        <w:pStyle w:val="ListBullet"/>
      </w:pPr>
      <w:r>
        <w:t>algorithmische Verstärkung eindeutig falscher oder manipulativer Inhalte ohne Korrekturpfad</w:t>
      </w:r>
    </w:p>
    <w:p>
      <w:r>
        <w:t>Website-Hinweis: Diese Dimension soll auf der SDG-/SDG+-Referenzseite als eigener Ankerbereich erscheinen, nicht als separate SDG+-Einzelseite. Der Chip verlinkt auf den Anker #sdgplus-medienqualitaet.</w:t>
      </w:r>
    </w:p>
    <w:p>
      <w:pPr>
        <w:pStyle w:val="Heading2"/>
      </w:pPr>
      <w:r>
        <w:t>6.3 SDG+ Rechtsstaatlichkeit</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Rechtsstaatlichkeit schützt Wirkungssteuerung vor Willkür: unabhängige Gerichte, Grundrechte, Verhältnismäßigkeit und Zugang zu Recht.</w:t>
            </w:r>
          </w:p>
        </w:tc>
      </w:tr>
    </w:tbl>
    <w:p/>
    <w:p>
      <w:r>
        <w:rPr>
          <w:b/>
        </w:rPr>
        <w:t>Definition:</w:t>
      </w:r>
      <w:r>
        <w:t xml:space="preserve"> Rechtsstaatlichkeit bezeichnet den Zustand, in dem Macht rechtlich begrenzt, Verfahren nachvollziehbar, Grundrechte wirksam, Gerichte unabhängig und Rechtsschutz zugänglich sind. In der Wirkungsökonomie ist sie eine Wirkungsgrenze: Ohne Rechtsstaat wird Wirkungsmessung zur Machttechnik.</w:t>
      </w:r>
    </w:p>
    <w:p>
      <w:r>
        <w:rPr>
          <w:b/>
        </w:rPr>
        <w:t>Warum diese Dimension nötig ist:</w:t>
      </w:r>
      <w:r>
        <w:t xml:space="preserve"> Wirkung braucht Regeln, aber Regeln brauchen Grenzen. Ein System, das Daten, Scorecards, Steuern und Bewertung nutzt, kann missbraucht werden. Rechtsstaatlichkeit ist der Schutz davor, dass Wirkungssteuerung technokratisch, willkürlich oder repressiv wird.</w:t>
      </w:r>
    </w:p>
    <w:p>
      <w:r>
        <w:rPr>
          <w:b/>
        </w:rPr>
        <w:t>Anschluss an offizielle SDGs:</w:t>
      </w:r>
      <w:r>
        <w:t xml:space="preserve"> SDG 16 ist der direkte Anker. SDG 10 und SDG 17 sind relevant, weil Rechtszugang, faire Verfahren und internationale Kooperation Ungleichheit und Machtmissbrauch begrenzen.</w:t>
      </w:r>
    </w:p>
    <w:p>
      <w:pPr>
        <w:pStyle w:val="Heading3"/>
      </w:pPr>
      <w:r>
        <w:t>Unterdimensionen</w:t>
      </w:r>
    </w:p>
    <w:p>
      <w:pPr>
        <w:pStyle w:val="ListBullet"/>
      </w:pPr>
      <w:r>
        <w:t>unabhängige Gerichte</w:t>
      </w:r>
    </w:p>
    <w:p>
      <w:pPr>
        <w:pStyle w:val="ListBullet"/>
      </w:pPr>
      <w:r>
        <w:t>Grundrechte und Minderheitenschutz</w:t>
      </w:r>
    </w:p>
    <w:p>
      <w:pPr>
        <w:pStyle w:val="ListBullet"/>
      </w:pPr>
      <w:r>
        <w:t>Verhältnismäßigkeit</w:t>
      </w:r>
    </w:p>
    <w:p>
      <w:pPr>
        <w:pStyle w:val="ListBullet"/>
      </w:pPr>
      <w:r>
        <w:t>Rechtsschutz und Beschwerdewege</w:t>
      </w:r>
    </w:p>
    <w:p>
      <w:pPr>
        <w:pStyle w:val="ListBullet"/>
      </w:pPr>
      <w:r>
        <w:t>Korruptionsprävention</w:t>
      </w:r>
    </w:p>
    <w:p>
      <w:pPr>
        <w:pStyle w:val="ListBullet"/>
      </w:pPr>
      <w:r>
        <w:t>offene Verwaltung</w:t>
      </w:r>
    </w:p>
    <w:p>
      <w:pPr>
        <w:pStyle w:val="ListBullet"/>
      </w:pPr>
      <w:r>
        <w:t>Rechtssicherheit</w:t>
      </w:r>
    </w:p>
    <w:p>
      <w:pPr>
        <w:pStyle w:val="ListBullet"/>
      </w:pPr>
      <w:r>
        <w:t>Datenschutz und Schutz vor willkürlicher Überwachung</w:t>
      </w:r>
    </w:p>
    <w:p>
      <w:pPr>
        <w:pStyle w:val="Heading3"/>
      </w:pPr>
      <w:r>
        <w:t>Mögliche Indikator- und WÖk-ID-Familien</w:t>
      </w:r>
    </w:p>
    <w:p>
      <w:pPr>
        <w:pStyle w:val="ListBullet"/>
      </w:pPr>
      <w:r>
        <w:t>Zugang zu Justiz</w:t>
      </w:r>
    </w:p>
    <w:p>
      <w:pPr>
        <w:pStyle w:val="ListBullet"/>
      </w:pPr>
      <w:r>
        <w:t>Dauer und Fairness von Verfahren</w:t>
      </w:r>
    </w:p>
    <w:p>
      <w:pPr>
        <w:pStyle w:val="ListBullet"/>
      </w:pPr>
      <w:r>
        <w:t>Unabhängigkeit der Justiz</w:t>
      </w:r>
    </w:p>
    <w:p>
      <w:pPr>
        <w:pStyle w:val="ListBullet"/>
      </w:pPr>
      <w:r>
        <w:t>Korruptionsrisiko</w:t>
      </w:r>
    </w:p>
    <w:p>
      <w:pPr>
        <w:pStyle w:val="ListBullet"/>
      </w:pPr>
      <w:r>
        <w:t>Transparenz staatlicher Entscheidungen</w:t>
      </w:r>
    </w:p>
    <w:p>
      <w:pPr>
        <w:pStyle w:val="ListBullet"/>
      </w:pPr>
      <w:r>
        <w:t>Grundrechtsverletzungen</w:t>
      </w:r>
    </w:p>
    <w:p>
      <w:pPr>
        <w:pStyle w:val="ListBullet"/>
      </w:pPr>
      <w:r>
        <w:t>Beschwerde- und Einspruchsmöglichkeiten bei automatisierten Entscheidungen</w:t>
      </w:r>
    </w:p>
    <w:p>
      <w:pPr>
        <w:pStyle w:val="Heading3"/>
      </w:pPr>
      <w:r>
        <w:t>Konkrete Bedeutung in Wirkungsfeldern</w:t>
      </w:r>
    </w:p>
    <w:p>
      <w:pPr>
        <w:pStyle w:val="ListBullet"/>
      </w:pPr>
      <w:r>
        <w:t>Staat, Recht &amp; Demokratie</w:t>
      </w:r>
    </w:p>
    <w:p>
      <w:pPr>
        <w:pStyle w:val="ListBullet"/>
      </w:pPr>
      <w:r>
        <w:t>Werkzeuge: Wirkungssteuergesetz</w:t>
      </w:r>
    </w:p>
    <w:p>
      <w:pPr>
        <w:pStyle w:val="ListBullet"/>
      </w:pPr>
      <w:r>
        <w:t>Medien &amp; Öffentlichkeit</w:t>
      </w:r>
    </w:p>
    <w:p>
      <w:pPr>
        <w:pStyle w:val="ListBullet"/>
      </w:pPr>
      <w:r>
        <w:t>Finanzsystem &amp; Kapital</w:t>
      </w:r>
    </w:p>
    <w:p>
      <w:pPr>
        <w:pStyle w:val="Heading3"/>
      </w:pPr>
      <w:r>
        <w:t>Kontextbezogene Werkzeuge</w:t>
      </w:r>
    </w:p>
    <w:p>
      <w:pPr>
        <w:pStyle w:val="ListBullet"/>
      </w:pPr>
      <w:r>
        <w:t>LawReader</w:t>
      </w:r>
    </w:p>
    <w:p>
      <w:pPr>
        <w:pStyle w:val="ListBullet"/>
      </w:pPr>
      <w:r>
        <w:t>LawReference</w:t>
      </w:r>
    </w:p>
    <w:p>
      <w:pPr>
        <w:pStyle w:val="ListBullet"/>
      </w:pPr>
      <w:r>
        <w:t>Wirkungsrat</w:t>
      </w:r>
    </w:p>
    <w:p>
      <w:pPr>
        <w:pStyle w:val="ListBullet"/>
      </w:pPr>
      <w:r>
        <w:t>Wirkungsprüfung</w:t>
      </w:r>
    </w:p>
    <w:p>
      <w:pPr>
        <w:pStyle w:val="ListBullet"/>
      </w:pPr>
      <w:r>
        <w:t>Rechtsfolgen-Check</w:t>
      </w:r>
    </w:p>
    <w:p>
      <w:pPr>
        <w:pStyle w:val="Heading3"/>
      </w:pPr>
      <w:r>
        <w:t>Wirkungsgrenzen und rote Linien</w:t>
      </w:r>
    </w:p>
    <w:p>
      <w:pPr>
        <w:pStyle w:val="ListBullet"/>
      </w:pPr>
      <w:r>
        <w:t>willkürliche Personenbewertung</w:t>
      </w:r>
    </w:p>
    <w:p>
      <w:pPr>
        <w:pStyle w:val="ListBullet"/>
      </w:pPr>
      <w:r>
        <w:t>Social-Credit-Logik</w:t>
      </w:r>
    </w:p>
    <w:p>
      <w:pPr>
        <w:pStyle w:val="ListBullet"/>
      </w:pPr>
      <w:r>
        <w:t>fehlender Rechtsschutz gegen automatisierte Entscheidungen</w:t>
      </w:r>
    </w:p>
    <w:p>
      <w:pPr>
        <w:pStyle w:val="ListBullet"/>
      </w:pPr>
      <w:r>
        <w:t>politische Vereinnahmung von Gerichten</w:t>
      </w:r>
    </w:p>
    <w:p>
      <w:pPr>
        <w:pStyle w:val="ListBullet"/>
      </w:pPr>
      <w:r>
        <w:t>diskriminierende Rechtsanwendung</w:t>
      </w:r>
    </w:p>
    <w:p>
      <w:r>
        <w:t>Website-Hinweis: Diese Dimension soll auf der SDG-/SDG+-Referenzseite als eigener Ankerbereich erscheinen, nicht als separate SDG+-Einzelseite. Der Chip verlinkt auf den Anker #sdgplus-rechtsstaatlichkeit.</w:t>
      </w:r>
    </w:p>
    <w:p>
      <w:pPr>
        <w:pStyle w:val="Heading2"/>
      </w:pPr>
      <w:r>
        <w:t>6.4 SDG+ Diskursfähigkeit</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Diskursfähigkeit macht sichtbar, ob Gesellschaften Konflikte faktenbasiert, respektvoll und korrekturfähig bearbeiten können.</w:t>
            </w:r>
          </w:p>
        </w:tc>
      </w:tr>
    </w:tbl>
    <w:p/>
    <w:p>
      <w:r>
        <w:rPr>
          <w:b/>
        </w:rPr>
        <w:t>Definition:</w:t>
      </w:r>
      <w:r>
        <w:t xml:space="preserve"> Diskursfähigkeit beschreibt die soziale und institutionelle Fähigkeit, Widerspruch auszuhalten, Fakten zu prüfen, Zielkonflikte offen zu verhandeln und Entscheidungen so zu begründen, dass Korrektur möglich bleibt.</w:t>
      </w:r>
    </w:p>
    <w:p>
      <w:r>
        <w:rPr>
          <w:b/>
        </w:rPr>
        <w:t>Warum diese Dimension nötig ist:</w:t>
      </w:r>
      <w:r>
        <w:t xml:space="preserve"> Nachhaltigkeit erzeugt Zielkonflikte: Klima, soziale Sicherheit, Wirtschaft, Migration, Energie, Wohnen, Freiheit und Gesundheit stehen nicht immer spannungsfrei nebeneinander. Ohne Diskursfähigkeit werden Zielkonflikte zu Polarisierung, nicht zu Lernen.</w:t>
      </w:r>
    </w:p>
    <w:p>
      <w:r>
        <w:rPr>
          <w:b/>
        </w:rPr>
        <w:t>Anschluss an offizielle SDGs:</w:t>
      </w:r>
      <w:r>
        <w:t xml:space="preserve"> SDG 16 und SDG 17 sind zentrale Anker. SDG 4 ist relevant, weil Diskursfähigkeit gelernt werden muss. SDG+ präzisiert die Qualität des öffentlichen Streits.</w:t>
      </w:r>
    </w:p>
    <w:p>
      <w:pPr>
        <w:pStyle w:val="Heading3"/>
      </w:pPr>
      <w:r>
        <w:t>Unterdimensionen</w:t>
      </w:r>
    </w:p>
    <w:p>
      <w:pPr>
        <w:pStyle w:val="ListBullet"/>
      </w:pPr>
      <w:r>
        <w:t>Faktenbezug und Quellenfähigkeit</w:t>
      </w:r>
    </w:p>
    <w:p>
      <w:pPr>
        <w:pStyle w:val="ListBullet"/>
      </w:pPr>
      <w:r>
        <w:t>Respekt und Konfliktfähigkeit</w:t>
      </w:r>
    </w:p>
    <w:p>
      <w:pPr>
        <w:pStyle w:val="ListBullet"/>
      </w:pPr>
      <w:r>
        <w:t>Ambiguitätstoleranz</w:t>
      </w:r>
    </w:p>
    <w:p>
      <w:pPr>
        <w:pStyle w:val="ListBullet"/>
      </w:pPr>
      <w:r>
        <w:t>Deliberation und Beteiligung</w:t>
      </w:r>
    </w:p>
    <w:p>
      <w:pPr>
        <w:pStyle w:val="ListBullet"/>
      </w:pPr>
      <w:r>
        <w:t>Polarisationserkennung</w:t>
      </w:r>
    </w:p>
    <w:p>
      <w:pPr>
        <w:pStyle w:val="ListBullet"/>
      </w:pPr>
      <w:r>
        <w:t>Korrekturfähigkeit</w:t>
      </w:r>
    </w:p>
    <w:p>
      <w:pPr>
        <w:pStyle w:val="ListBullet"/>
      </w:pPr>
      <w:r>
        <w:t>Schutz vor Dehumanisierung</w:t>
      </w:r>
    </w:p>
    <w:p>
      <w:pPr>
        <w:pStyle w:val="ListBullet"/>
      </w:pPr>
      <w:r>
        <w:t>Übersetzung zwischen Fachsprache und Öffentlichkeit</w:t>
      </w:r>
    </w:p>
    <w:p>
      <w:pPr>
        <w:pStyle w:val="Heading3"/>
      </w:pPr>
      <w:r>
        <w:t>Mögliche Indikator- und WÖk-ID-Familien</w:t>
      </w:r>
    </w:p>
    <w:p>
      <w:pPr>
        <w:pStyle w:val="ListBullet"/>
      </w:pPr>
      <w:r>
        <w:t>Anteil faktenbasierter Begründungen in Verfahren</w:t>
      </w:r>
    </w:p>
    <w:p>
      <w:pPr>
        <w:pStyle w:val="ListBullet"/>
      </w:pPr>
      <w:r>
        <w:t>Qualität öffentlicher Konsultationen</w:t>
      </w:r>
    </w:p>
    <w:p>
      <w:pPr>
        <w:pStyle w:val="ListBullet"/>
      </w:pPr>
      <w:r>
        <w:t>Polarisierungsmarker</w:t>
      </w:r>
    </w:p>
    <w:p>
      <w:pPr>
        <w:pStyle w:val="ListBullet"/>
      </w:pPr>
      <w:r>
        <w:t>Hass- und Dehumanisierungsindikatoren</w:t>
      </w:r>
    </w:p>
    <w:p>
      <w:pPr>
        <w:pStyle w:val="ListBullet"/>
      </w:pPr>
      <w:r>
        <w:t>Vielfalt der Beteiligten</w:t>
      </w:r>
    </w:p>
    <w:p>
      <w:pPr>
        <w:pStyle w:val="ListBullet"/>
      </w:pPr>
      <w:r>
        <w:t>Korrektur- und Lernschleifen in politischen Prozessen</w:t>
      </w:r>
    </w:p>
    <w:p>
      <w:pPr>
        <w:pStyle w:val="Heading3"/>
      </w:pPr>
      <w:r>
        <w:t>Konkrete Bedeutung in Wirkungsfeldern</w:t>
      </w:r>
    </w:p>
    <w:p>
      <w:pPr>
        <w:pStyle w:val="ListBullet"/>
      </w:pPr>
      <w:r>
        <w:t>Medien &amp; Öffentlichkeit</w:t>
      </w:r>
    </w:p>
    <w:p>
      <w:pPr>
        <w:pStyle w:val="ListBullet"/>
      </w:pPr>
      <w:r>
        <w:t>Bildung</w:t>
      </w:r>
    </w:p>
    <w:p>
      <w:pPr>
        <w:pStyle w:val="ListBullet"/>
      </w:pPr>
      <w:r>
        <w:t>Staat, Recht &amp; Demokratie</w:t>
      </w:r>
    </w:p>
    <w:p>
      <w:pPr>
        <w:pStyle w:val="ListBullet"/>
      </w:pPr>
      <w:r>
        <w:t>Kultur, Identitaet &amp; Resonanz</w:t>
      </w:r>
    </w:p>
    <w:p>
      <w:pPr>
        <w:pStyle w:val="Heading3"/>
      </w:pPr>
      <w:r>
        <w:t>Kontextbezogene Werkzeuge</w:t>
      </w:r>
    </w:p>
    <w:p>
      <w:pPr>
        <w:pStyle w:val="ListBullet"/>
      </w:pPr>
      <w:r>
        <w:t>Sprachwirkungsanalyse</w:t>
      </w:r>
    </w:p>
    <w:p>
      <w:pPr>
        <w:pStyle w:val="ListBullet"/>
      </w:pPr>
      <w:r>
        <w:t>Diskursqualitäts-Check</w:t>
      </w:r>
    </w:p>
    <w:p>
      <w:pPr>
        <w:pStyle w:val="ListBullet"/>
      </w:pPr>
      <w:r>
        <w:t>Moderations- und Beteiligungsformate</w:t>
      </w:r>
    </w:p>
    <w:p>
      <w:pPr>
        <w:pStyle w:val="ListBullet"/>
      </w:pPr>
      <w:r>
        <w:t>Wirkungsprüfung politischer Kommunikation</w:t>
      </w:r>
    </w:p>
    <w:p>
      <w:pPr>
        <w:pStyle w:val="Heading3"/>
      </w:pPr>
      <w:r>
        <w:t>Wirkungsgrenzen und rote Linien</w:t>
      </w:r>
    </w:p>
    <w:p>
      <w:pPr>
        <w:pStyle w:val="ListBullet"/>
      </w:pPr>
      <w:r>
        <w:t>Aufruf zur Gewalt</w:t>
      </w:r>
    </w:p>
    <w:p>
      <w:pPr>
        <w:pStyle w:val="ListBullet"/>
      </w:pPr>
      <w:r>
        <w:t>systematische Entmenschlichung</w:t>
      </w:r>
    </w:p>
    <w:p>
      <w:pPr>
        <w:pStyle w:val="ListBullet"/>
      </w:pPr>
      <w:r>
        <w:t>gezielte Desinformation in Krisen</w:t>
      </w:r>
    </w:p>
    <w:p>
      <w:pPr>
        <w:pStyle w:val="ListBullet"/>
      </w:pPr>
      <w:r>
        <w:t>Ausschluss betroffener Gruppen aus Debatten</w:t>
      </w:r>
    </w:p>
    <w:p>
      <w:pPr>
        <w:pStyle w:val="ListBullet"/>
      </w:pPr>
      <w:r>
        <w:t>Manipulation von Beteiligungsverfahren</w:t>
      </w:r>
    </w:p>
    <w:p>
      <w:r>
        <w:t>Website-Hinweis: Diese Dimension soll auf der SDG-/SDG+-Referenzseite als eigener Ankerbereich erscheinen, nicht als separate SDG+-Einzelseite. Der Chip verlinkt auf den Anker #sdgplus-diskursfaehigkeit.</w:t>
      </w:r>
    </w:p>
    <w:p>
      <w:pPr>
        <w:pStyle w:val="Heading2"/>
      </w:pPr>
      <w:r>
        <w:t>6.5 SDG+ institutionelles Vertrauen</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institutionelles Vertrauen beschreibt die begründete Erwartung, dass Institutionen fair, kompetent, transparent und korrigierbar handeln.</w:t>
            </w:r>
          </w:p>
        </w:tc>
      </w:tr>
    </w:tbl>
    <w:p/>
    <w:p>
      <w:r>
        <w:rPr>
          <w:b/>
        </w:rPr>
        <w:t>Definition:</w:t>
      </w:r>
      <w:r>
        <w:t xml:space="preserve"> Institutionelles Vertrauen ist nicht blinder Gehorsam. Es ist die begründete Erwartung, dass Institutionen kompetent, fair, transparent, zugänglich, lernfähig und rechenschaftspflichtig handeln.</w:t>
      </w:r>
    </w:p>
    <w:p>
      <w:r>
        <w:rPr>
          <w:b/>
        </w:rPr>
        <w:t>Warum diese Dimension nötig ist:</w:t>
      </w:r>
      <w:r>
        <w:t xml:space="preserve"> Wirkungsökonomie braucht Daten, Institutionen und Rückkopplung. Wenn Menschen nicht vertrauen können, dass Datenqualität, Wirkungsrat, Steuerlogik und politische Entscheidungen fair sind, kippt Wirkungsmessung in Misstrauen. Vertrauen ist deshalb kein weiches Gefühl, sondern eine Systemressource.</w:t>
      </w:r>
    </w:p>
    <w:p>
      <w:r>
        <w:rPr>
          <w:b/>
        </w:rPr>
        <w:t>Anschluss an offizielle SDGs:</w:t>
      </w:r>
      <w:r>
        <w:t xml:space="preserve"> SDG 16 und SDG 17 sind direkte Anker. SDG 10 ist relevant, weil Ungleichheit Vertrauen schwächt. SDG+ institutionelles Vertrauen operationalisiert den Vertrauensraum präziser.</w:t>
      </w:r>
    </w:p>
    <w:p>
      <w:pPr>
        <w:pStyle w:val="Heading3"/>
      </w:pPr>
      <w:r>
        <w:t>Unterdimensionen</w:t>
      </w:r>
    </w:p>
    <w:p>
      <w:pPr>
        <w:pStyle w:val="ListBullet"/>
      </w:pPr>
      <w:r>
        <w:t>Kompetenz und Leistungsfähigkeit</w:t>
      </w:r>
    </w:p>
    <w:p>
      <w:pPr>
        <w:pStyle w:val="ListBullet"/>
      </w:pPr>
      <w:r>
        <w:t>Integrität und Korruptionsschutz</w:t>
      </w:r>
    </w:p>
    <w:p>
      <w:pPr>
        <w:pStyle w:val="ListBullet"/>
      </w:pPr>
      <w:r>
        <w:t>Fairness und Gleichbehandlung</w:t>
      </w:r>
    </w:p>
    <w:p>
      <w:pPr>
        <w:pStyle w:val="ListBullet"/>
      </w:pPr>
      <w:r>
        <w:t>Offenheit und Transparenz</w:t>
      </w:r>
    </w:p>
    <w:p>
      <w:pPr>
        <w:pStyle w:val="ListBullet"/>
      </w:pPr>
      <w:r>
        <w:t>Zugänglichkeit und Servicequalität</w:t>
      </w:r>
    </w:p>
    <w:p>
      <w:pPr>
        <w:pStyle w:val="ListBullet"/>
      </w:pPr>
      <w:r>
        <w:t>Evidenzorientierung</w:t>
      </w:r>
    </w:p>
    <w:p>
      <w:pPr>
        <w:pStyle w:val="ListBullet"/>
      </w:pPr>
      <w:r>
        <w:t>Fehlerkultur und Korrektur</w:t>
      </w:r>
    </w:p>
    <w:p>
      <w:pPr>
        <w:pStyle w:val="ListBullet"/>
      </w:pPr>
      <w:r>
        <w:t>Zukunftsverantwortung</w:t>
      </w:r>
    </w:p>
    <w:p>
      <w:pPr>
        <w:pStyle w:val="Heading3"/>
      </w:pPr>
      <w:r>
        <w:t>Mögliche Indikator- und WÖk-ID-Familien</w:t>
      </w:r>
    </w:p>
    <w:p>
      <w:pPr>
        <w:pStyle w:val="ListBullet"/>
      </w:pPr>
      <w:r>
        <w:t>Vertrauen in Regierung, Verwaltung, Gerichte und Medien</w:t>
      </w:r>
    </w:p>
    <w:p>
      <w:pPr>
        <w:pStyle w:val="ListBullet"/>
      </w:pPr>
      <w:r>
        <w:t>wahrgenommene Fairness</w:t>
      </w:r>
    </w:p>
    <w:p>
      <w:pPr>
        <w:pStyle w:val="ListBullet"/>
      </w:pPr>
      <w:r>
        <w:t>Transparenz von Entscheidungen</w:t>
      </w:r>
    </w:p>
    <w:p>
      <w:pPr>
        <w:pStyle w:val="ListBullet"/>
      </w:pPr>
      <w:r>
        <w:t>Nutzung bester verfügbarer Evidenz</w:t>
      </w:r>
    </w:p>
    <w:p>
      <w:pPr>
        <w:pStyle w:val="ListBullet"/>
      </w:pPr>
      <w:r>
        <w:t>Beschwerdezugang</w:t>
      </w:r>
    </w:p>
    <w:p>
      <w:pPr>
        <w:pStyle w:val="ListBullet"/>
      </w:pPr>
      <w:r>
        <w:t>Integritäts- und Korruptionsindikatoren</w:t>
      </w:r>
    </w:p>
    <w:p>
      <w:pPr>
        <w:pStyle w:val="ListBullet"/>
      </w:pPr>
      <w:r>
        <w:t>Dauer und Verständlichkeit von Verfahren</w:t>
      </w:r>
    </w:p>
    <w:p>
      <w:pPr>
        <w:pStyle w:val="Heading3"/>
      </w:pPr>
      <w:r>
        <w:t>Konkrete Bedeutung in Wirkungsfeldern</w:t>
      </w:r>
    </w:p>
    <w:p>
      <w:pPr>
        <w:pStyle w:val="ListBullet"/>
      </w:pPr>
      <w:r>
        <w:t>Staat, Recht &amp; Demokratie</w:t>
      </w:r>
    </w:p>
    <w:p>
      <w:pPr>
        <w:pStyle w:val="ListBullet"/>
      </w:pPr>
      <w:r>
        <w:t>Gesundheit &amp; Pflege</w:t>
      </w:r>
    </w:p>
    <w:p>
      <w:pPr>
        <w:pStyle w:val="ListBullet"/>
      </w:pPr>
      <w:r>
        <w:t>Wohnen &amp; Stadt</w:t>
      </w:r>
    </w:p>
    <w:p>
      <w:pPr>
        <w:pStyle w:val="ListBullet"/>
      </w:pPr>
      <w:r>
        <w:t>Produkte &amp; Konsum</w:t>
      </w:r>
    </w:p>
    <w:p>
      <w:pPr>
        <w:pStyle w:val="ListBullet"/>
      </w:pPr>
      <w:r>
        <w:t>Werkstatt: Wirkungsrat</w:t>
      </w:r>
    </w:p>
    <w:p>
      <w:pPr>
        <w:pStyle w:val="Heading3"/>
      </w:pPr>
      <w:r>
        <w:t>Kontextbezogene Werkzeuge</w:t>
      </w:r>
    </w:p>
    <w:p>
      <w:pPr>
        <w:pStyle w:val="ListBullet"/>
      </w:pPr>
      <w:r>
        <w:t>Wirkungsrat</w:t>
      </w:r>
    </w:p>
    <w:p>
      <w:pPr>
        <w:pStyle w:val="ListBullet"/>
      </w:pPr>
      <w:r>
        <w:t>Wirkungsberichte</w:t>
      </w:r>
    </w:p>
    <w:p>
      <w:pPr>
        <w:pStyle w:val="ListBullet"/>
      </w:pPr>
      <w:r>
        <w:t>Wirkungshaushalt</w:t>
      </w:r>
    </w:p>
    <w:p>
      <w:pPr>
        <w:pStyle w:val="ListBullet"/>
      </w:pPr>
      <w:r>
        <w:t>Transparenzdashboard</w:t>
      </w:r>
    </w:p>
    <w:p>
      <w:pPr>
        <w:pStyle w:val="ListBullet"/>
      </w:pPr>
      <w:r>
        <w:t>Wirkungsprüfung öffentlicher Mittel</w:t>
      </w:r>
    </w:p>
    <w:p>
      <w:pPr>
        <w:pStyle w:val="Heading3"/>
      </w:pPr>
      <w:r>
        <w:t>Wirkungsgrenzen und rote Linien</w:t>
      </w:r>
    </w:p>
    <w:p>
      <w:pPr>
        <w:pStyle w:val="ListBullet"/>
      </w:pPr>
      <w:r>
        <w:t>intransparente Datenverwendung</w:t>
      </w:r>
    </w:p>
    <w:p>
      <w:pPr>
        <w:pStyle w:val="ListBullet"/>
      </w:pPr>
      <w:r>
        <w:t>politisch gekaperte Bewertung</w:t>
      </w:r>
    </w:p>
    <w:p>
      <w:pPr>
        <w:pStyle w:val="ListBullet"/>
      </w:pPr>
      <w:r>
        <w:t>fehlender Beschwerdeweg</w:t>
      </w:r>
    </w:p>
    <w:p>
      <w:pPr>
        <w:pStyle w:val="ListBullet"/>
      </w:pPr>
      <w:r>
        <w:t>Korruption</w:t>
      </w:r>
    </w:p>
    <w:p>
      <w:pPr>
        <w:pStyle w:val="ListBullet"/>
      </w:pPr>
      <w:r>
        <w:t>Wirkungssimulation oder Greenwashing durch Institutionen</w:t>
      </w:r>
    </w:p>
    <w:p>
      <w:r>
        <w:t>Website-Hinweis: Diese Dimension soll auf der SDG-/SDG+-Referenzseite als eigener Ankerbereich erscheinen, nicht als separate SDG+-Einzelseite. Der Chip verlinkt auf den Anker #sdgplus-institutionelles-vertrauen.</w:t>
      </w:r>
    </w:p>
    <w:p>
      <w:pPr>
        <w:pStyle w:val="Heading2"/>
      </w:pPr>
      <w:r>
        <w:t>6.6 SDG+ gesellschaftlicher Zusammenhalt</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gesellschaftlicher Zusammenhalt macht sichtbar, ob Teilhabe, Zugehörigkeit, Sicherheit, Fairness und Schutz vor Spaltung gestärkt werden.</w:t>
            </w:r>
          </w:p>
        </w:tc>
      </w:tr>
    </w:tbl>
    <w:p/>
    <w:p>
      <w:r>
        <w:rPr>
          <w:b/>
        </w:rPr>
        <w:t>Definition:</w:t>
      </w:r>
      <w:r>
        <w:t xml:space="preserve"> Gesellschaftlicher Zusammenhalt bezeichnet die Qualität sozialer Räume, Beziehungen und Verfahren, in denen Menschen sich zugehörig, sicher, beteiligt und fair behandelt fühlen. Er ist weder Homogenität noch Anpassungsdruck, sondern pluraler Zusammenhalt.</w:t>
      </w:r>
    </w:p>
    <w:p>
      <w:r>
        <w:rPr>
          <w:b/>
        </w:rPr>
        <w:t>Warum diese Dimension nötig ist:</w:t>
      </w:r>
      <w:r>
        <w:t xml:space="preserve"> Viele SDGs behandeln soziale Fragen, aber die systemische Qualität des Zusammenhalts ist mehr als die Summe von Armuts-, Bildungs- oder Ungleichheitsindikatoren. Wohnungsnot, Prekarität, regionale Abwertung, Diskriminierung oder digitale Ausgrenzung schwächen Demokratie auch dann, wenn einzelne SDG-Indikatoren stabil erscheinen.</w:t>
      </w:r>
    </w:p>
    <w:p>
      <w:r>
        <w:rPr>
          <w:b/>
        </w:rPr>
        <w:t>Anschluss an offizielle SDGs:</w:t>
      </w:r>
      <w:r>
        <w:t xml:space="preserve"> SDG 1, 3, 4, 5, 8, 10, 11 und 16 sind besonders relevant. SDG+ verbindet diese Ziele über die Frage: Bleibt Gesellschaft als gemeinsamer Wirkungsraum tragfähig?</w:t>
      </w:r>
    </w:p>
    <w:p>
      <w:pPr>
        <w:pStyle w:val="Heading3"/>
      </w:pPr>
      <w:r>
        <w:t>Unterdimensionen</w:t>
      </w:r>
    </w:p>
    <w:p>
      <w:pPr>
        <w:pStyle w:val="ListBullet"/>
      </w:pPr>
      <w:r>
        <w:t>Zugehörigkeit und Anerkennung</w:t>
      </w:r>
    </w:p>
    <w:p>
      <w:pPr>
        <w:pStyle w:val="ListBullet"/>
      </w:pPr>
      <w:r>
        <w:t>soziale Sicherheit</w:t>
      </w:r>
    </w:p>
    <w:p>
      <w:pPr>
        <w:pStyle w:val="ListBullet"/>
      </w:pPr>
      <w:r>
        <w:t>gerechte Teilhabe</w:t>
      </w:r>
    </w:p>
    <w:p>
      <w:pPr>
        <w:pStyle w:val="ListBullet"/>
      </w:pPr>
      <w:r>
        <w:t>regionale Gleichwertigkeit</w:t>
      </w:r>
    </w:p>
    <w:p>
      <w:pPr>
        <w:pStyle w:val="ListBullet"/>
      </w:pPr>
      <w:r>
        <w:t>Antidiskriminierung</w:t>
      </w:r>
    </w:p>
    <w:p>
      <w:pPr>
        <w:pStyle w:val="ListBullet"/>
      </w:pPr>
      <w:r>
        <w:t>Generationengerechtigkeit</w:t>
      </w:r>
    </w:p>
    <w:p>
      <w:pPr>
        <w:pStyle w:val="ListBullet"/>
      </w:pPr>
      <w:r>
        <w:t>öffentliche Räume</w:t>
      </w:r>
    </w:p>
    <w:p>
      <w:pPr>
        <w:pStyle w:val="ListBullet"/>
      </w:pPr>
      <w:r>
        <w:t>Care, Familie und soziale Netze</w:t>
      </w:r>
    </w:p>
    <w:p>
      <w:pPr>
        <w:pStyle w:val="ListBullet"/>
      </w:pPr>
      <w:r>
        <w:t>Resilienz gegen Spaltung</w:t>
      </w:r>
    </w:p>
    <w:p>
      <w:pPr>
        <w:pStyle w:val="Heading3"/>
      </w:pPr>
      <w:r>
        <w:t>Mögliche Indikator- und WÖk-ID-Familien</w:t>
      </w:r>
    </w:p>
    <w:p>
      <w:pPr>
        <w:pStyle w:val="ListBullet"/>
      </w:pPr>
      <w:r>
        <w:t>Einsamkeit und soziale Isolation</w:t>
      </w:r>
    </w:p>
    <w:p>
      <w:pPr>
        <w:pStyle w:val="ListBullet"/>
      </w:pPr>
      <w:r>
        <w:t>wahrgenommene Zugehörigkeit</w:t>
      </w:r>
    </w:p>
    <w:p>
      <w:pPr>
        <w:pStyle w:val="ListBullet"/>
      </w:pPr>
      <w:r>
        <w:t>Diskriminierungserfahrungen</w:t>
      </w:r>
    </w:p>
    <w:p>
      <w:pPr>
        <w:pStyle w:val="ListBullet"/>
      </w:pPr>
      <w:r>
        <w:t>Mietbelastung und Wohnstabilität</w:t>
      </w:r>
    </w:p>
    <w:p>
      <w:pPr>
        <w:pStyle w:val="ListBullet"/>
      </w:pPr>
      <w:r>
        <w:t>Zugang zu Bildung, Gesundheit und Kultur</w:t>
      </w:r>
    </w:p>
    <w:p>
      <w:pPr>
        <w:pStyle w:val="ListBullet"/>
      </w:pPr>
      <w:r>
        <w:t>regionale Lebensqualität</w:t>
      </w:r>
    </w:p>
    <w:p>
      <w:pPr>
        <w:pStyle w:val="ListBullet"/>
      </w:pPr>
      <w:r>
        <w:t>Teilhabequoten</w:t>
      </w:r>
    </w:p>
    <w:p>
      <w:pPr>
        <w:pStyle w:val="ListBullet"/>
      </w:pPr>
      <w:r>
        <w:t>Armuts- und Prekaritätsrisiken</w:t>
      </w:r>
    </w:p>
    <w:p>
      <w:pPr>
        <w:pStyle w:val="Heading3"/>
      </w:pPr>
      <w:r>
        <w:t>Konkrete Bedeutung in Wirkungsfeldern</w:t>
      </w:r>
    </w:p>
    <w:p>
      <w:pPr>
        <w:pStyle w:val="ListBullet"/>
      </w:pPr>
      <w:r>
        <w:t>Wohnen &amp; Stadt</w:t>
      </w:r>
    </w:p>
    <w:p>
      <w:pPr>
        <w:pStyle w:val="ListBullet"/>
      </w:pPr>
      <w:r>
        <w:t>Gesundheit &amp; Pflege</w:t>
      </w:r>
    </w:p>
    <w:p>
      <w:pPr>
        <w:pStyle w:val="ListBullet"/>
      </w:pPr>
      <w:r>
        <w:t>Bildung</w:t>
      </w:r>
    </w:p>
    <w:p>
      <w:pPr>
        <w:pStyle w:val="ListBullet"/>
      </w:pPr>
      <w:r>
        <w:t>Arbeit &amp; Einkommen</w:t>
      </w:r>
    </w:p>
    <w:p>
      <w:pPr>
        <w:pStyle w:val="ListBullet"/>
      </w:pPr>
      <w:r>
        <w:t>Kultur, Identitaet &amp; Resonanz</w:t>
      </w:r>
    </w:p>
    <w:p>
      <w:pPr>
        <w:pStyle w:val="ListBullet"/>
      </w:pPr>
      <w:r>
        <w:t>Migration &amp; Vielfalt</w:t>
      </w:r>
    </w:p>
    <w:p>
      <w:pPr>
        <w:pStyle w:val="Heading3"/>
      </w:pPr>
      <w:r>
        <w:t>Kontextbezogene Werkzeuge</w:t>
      </w:r>
    </w:p>
    <w:p>
      <w:pPr>
        <w:pStyle w:val="ListBullet"/>
      </w:pPr>
      <w:r>
        <w:t>Wirkungsförderung</w:t>
      </w:r>
    </w:p>
    <w:p>
      <w:pPr>
        <w:pStyle w:val="ListBullet"/>
      </w:pPr>
      <w:r>
        <w:t>Wirkungsrente</w:t>
      </w:r>
    </w:p>
    <w:p>
      <w:pPr>
        <w:pStyle w:val="ListBullet"/>
      </w:pPr>
      <w:r>
        <w:t>Wirkungseinkommen</w:t>
      </w:r>
    </w:p>
    <w:p>
      <w:pPr>
        <w:pStyle w:val="ListBullet"/>
      </w:pPr>
      <w:r>
        <w:t>kommunale Wirkungsbudgets</w:t>
      </w:r>
    </w:p>
    <w:p>
      <w:pPr>
        <w:pStyle w:val="ListBullet"/>
      </w:pPr>
      <w:r>
        <w:t>Quartierswirkungscheck</w:t>
      </w:r>
    </w:p>
    <w:p>
      <w:pPr>
        <w:pStyle w:val="Heading3"/>
      </w:pPr>
      <w:r>
        <w:t>Wirkungsgrenzen und rote Linien</w:t>
      </w:r>
    </w:p>
    <w:p>
      <w:pPr>
        <w:pStyle w:val="ListBullet"/>
      </w:pPr>
      <w:r>
        <w:t>systematische Ausgrenzung</w:t>
      </w:r>
    </w:p>
    <w:p>
      <w:pPr>
        <w:pStyle w:val="ListBullet"/>
      </w:pPr>
      <w:r>
        <w:t>gruppenbezogene Menschenfeindlichkeit</w:t>
      </w:r>
    </w:p>
    <w:p>
      <w:pPr>
        <w:pStyle w:val="ListBullet"/>
      </w:pPr>
      <w:r>
        <w:t>soziale Spaltung durch politische oder wirtschaftliche Anreize</w:t>
      </w:r>
    </w:p>
    <w:p>
      <w:pPr>
        <w:pStyle w:val="ListBullet"/>
      </w:pPr>
      <w:r>
        <w:t>Verdrängung aus Grundbedarfsräumen</w:t>
      </w:r>
    </w:p>
    <w:p>
      <w:pPr>
        <w:pStyle w:val="ListBullet"/>
      </w:pPr>
      <w:r>
        <w:t>Normalisierung von Hass oder Entwertung</w:t>
      </w:r>
    </w:p>
    <w:p>
      <w:r>
        <w:t>Website-Hinweis: Diese Dimension soll auf der SDG-/SDG+-Referenzseite als eigener Ankerbereich erscheinen, nicht als separate SDG+-Einzelseite. Der Chip verlinkt auf den Anker #sdgplus-gesellschaftlicher-zusammenhalt.</w:t>
      </w:r>
    </w:p>
    <w:p>
      <w:pPr>
        <w:pStyle w:val="Heading2"/>
      </w:pPr>
      <w:r>
        <w:t>6.7 SDG+ digitale Selbstbestimmung</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Hover-Text für Website</w:t>
            </w:r>
          </w:p>
          <w:p>
            <w:pPr>
              <w:spacing w:after="0"/>
              <w:ind w:left="72" w:right="72"/>
            </w:pPr>
            <w:r>
              <w:t>SDG+ digitale Selbstbestimmung schützt Datenrechte, digitale Teilhabe, algorithmische Fairness und Freiheit vor Manipulation.</w:t>
            </w:r>
          </w:p>
        </w:tc>
      </w:tr>
    </w:tbl>
    <w:p/>
    <w:p>
      <w:r>
        <w:rPr>
          <w:b/>
        </w:rPr>
        <w:t>Definition:</w:t>
      </w:r>
      <w:r>
        <w:t xml:space="preserve"> Digitale Selbstbestimmung bezeichnet die Fähigkeit und das Recht, digitale Räume, Daten, Plattformen, KI-Systeme und algorithmische Entscheidungen zu verstehen, zu nutzen, zu kontrollieren und sich gegen Manipulation, Überwachung und Ausschluss zu schützen.</w:t>
      </w:r>
    </w:p>
    <w:p>
      <w:r>
        <w:rPr>
          <w:b/>
        </w:rPr>
        <w:t>Warum diese Dimension nötig ist:</w:t>
      </w:r>
      <w:r>
        <w:t xml:space="preserve"> Die SDGs wurden 2015 beschlossen. Seitdem haben Plattformmacht, generative KI, Datenökonomien, algorithmische Empfehlungssysteme, Deepfakes und digitale Abhängigkeiten eine neue Wirkungsintensität erreicht. Digitale Selbstbestimmung ist deshalb kein Zusatzthema, sondern Bedingung von Demokratie, Bildung, Arbeit, Gesundheit und Konsumfreiheit.</w:t>
      </w:r>
    </w:p>
    <w:p>
      <w:r>
        <w:rPr>
          <w:b/>
        </w:rPr>
        <w:t>Anschluss an offizielle SDGs:</w:t>
      </w:r>
      <w:r>
        <w:t xml:space="preserve"> SDG 4, 9, 10, 16 und 17 sind zentrale Anker. SDG+ präzisiert Datenrechte, algorithmische Fairness, Plattformmacht und Manipulationsschutz.</w:t>
      </w:r>
    </w:p>
    <w:p>
      <w:pPr>
        <w:pStyle w:val="Heading3"/>
      </w:pPr>
      <w:r>
        <w:t>Unterdimensionen</w:t>
      </w:r>
    </w:p>
    <w:p>
      <w:pPr>
        <w:pStyle w:val="ListBullet"/>
      </w:pPr>
      <w:r>
        <w:t>Datenschutz und Datenrechte</w:t>
      </w:r>
    </w:p>
    <w:p>
      <w:pPr>
        <w:pStyle w:val="ListBullet"/>
      </w:pPr>
      <w:r>
        <w:t>algorithmische Transparenz</w:t>
      </w:r>
    </w:p>
    <w:p>
      <w:pPr>
        <w:pStyle w:val="ListBullet"/>
      </w:pPr>
      <w:r>
        <w:t>algorithmische Fairness</w:t>
      </w:r>
    </w:p>
    <w:p>
      <w:pPr>
        <w:pStyle w:val="ListBullet"/>
      </w:pPr>
      <w:r>
        <w:t>Schutz vor Manipulation und Dark Patterns</w:t>
      </w:r>
    </w:p>
    <w:p>
      <w:pPr>
        <w:pStyle w:val="ListBullet"/>
      </w:pPr>
      <w:r>
        <w:t>digitale Teilhabe und Barrierefreiheit</w:t>
      </w:r>
    </w:p>
    <w:p>
      <w:pPr>
        <w:pStyle w:val="ListBullet"/>
      </w:pPr>
      <w:r>
        <w:t>KI-Kompetenz und Medienkompetenz</w:t>
      </w:r>
    </w:p>
    <w:p>
      <w:pPr>
        <w:pStyle w:val="ListBullet"/>
      </w:pPr>
      <w:r>
        <w:t>Cyber- und Infrastruktursicherheit</w:t>
      </w:r>
    </w:p>
    <w:p>
      <w:pPr>
        <w:pStyle w:val="ListBullet"/>
      </w:pPr>
      <w:r>
        <w:t>Schutz von Kindern und vulnerablen Gruppen</w:t>
      </w:r>
    </w:p>
    <w:p>
      <w:pPr>
        <w:pStyle w:val="ListBullet"/>
      </w:pPr>
      <w:r>
        <w:t>Interoperabilität und offene digitale Infrastruktur</w:t>
      </w:r>
    </w:p>
    <w:p>
      <w:pPr>
        <w:pStyle w:val="Heading3"/>
      </w:pPr>
      <w:r>
        <w:t>Mögliche Indikator- und WÖk-ID-Familien</w:t>
      </w:r>
    </w:p>
    <w:p>
      <w:pPr>
        <w:pStyle w:val="ListBullet"/>
      </w:pPr>
      <w:r>
        <w:t>Zugang zu digitalen Diensten</w:t>
      </w:r>
    </w:p>
    <w:p>
      <w:pPr>
        <w:pStyle w:val="ListBullet"/>
      </w:pPr>
      <w:r>
        <w:t>digitale Kompetenzen</w:t>
      </w:r>
    </w:p>
    <w:p>
      <w:pPr>
        <w:pStyle w:val="ListBullet"/>
      </w:pPr>
      <w:r>
        <w:t>Transparenz automatisierter Entscheidungen</w:t>
      </w:r>
    </w:p>
    <w:p>
      <w:pPr>
        <w:pStyle w:val="ListBullet"/>
      </w:pPr>
      <w:r>
        <w:t>Beschwerdewege gegen algorithmische Entscheidungen</w:t>
      </w:r>
    </w:p>
    <w:p>
      <w:pPr>
        <w:pStyle w:val="ListBullet"/>
      </w:pPr>
      <w:r>
        <w:t>Datenschutzverletzungen</w:t>
      </w:r>
    </w:p>
    <w:p>
      <w:pPr>
        <w:pStyle w:val="ListBullet"/>
      </w:pPr>
      <w:r>
        <w:t>Manipulations- und Dark-Pattern-Risiken</w:t>
      </w:r>
    </w:p>
    <w:p>
      <w:pPr>
        <w:pStyle w:val="ListBullet"/>
      </w:pPr>
      <w:r>
        <w:t>Cyberresilienz</w:t>
      </w:r>
    </w:p>
    <w:p>
      <w:pPr>
        <w:pStyle w:val="ListBullet"/>
      </w:pPr>
      <w:r>
        <w:t>KI-Einsatzfolgenabschätzung</w:t>
      </w:r>
    </w:p>
    <w:p>
      <w:pPr>
        <w:pStyle w:val="Heading3"/>
      </w:pPr>
      <w:r>
        <w:t>Konkrete Bedeutung in Wirkungsfeldern</w:t>
      </w:r>
    </w:p>
    <w:p>
      <w:pPr>
        <w:pStyle w:val="ListBullet"/>
      </w:pPr>
      <w:r>
        <w:t>Wissenschaft, Innovation &amp; Digitalisierung</w:t>
      </w:r>
    </w:p>
    <w:p>
      <w:pPr>
        <w:pStyle w:val="ListBullet"/>
      </w:pPr>
      <w:r>
        <w:t>Medien &amp; Öffentlichkeit</w:t>
      </w:r>
    </w:p>
    <w:p>
      <w:pPr>
        <w:pStyle w:val="ListBullet"/>
      </w:pPr>
      <w:r>
        <w:t>Bildung</w:t>
      </w:r>
    </w:p>
    <w:p>
      <w:pPr>
        <w:pStyle w:val="ListBullet"/>
      </w:pPr>
      <w:r>
        <w:t>Staat, Recht &amp; Demokratie</w:t>
      </w:r>
    </w:p>
    <w:p>
      <w:pPr>
        <w:pStyle w:val="ListBullet"/>
      </w:pPr>
      <w:r>
        <w:t>Produkte &amp; Konsum</w:t>
      </w:r>
    </w:p>
    <w:p>
      <w:pPr>
        <w:pStyle w:val="ListBullet"/>
      </w:pPr>
      <w:r>
        <w:t>Gesundheit &amp; Pflege</w:t>
      </w:r>
    </w:p>
    <w:p>
      <w:pPr>
        <w:pStyle w:val="Heading3"/>
      </w:pPr>
      <w:r>
        <w:t>Kontextbezogene Werkzeuge</w:t>
      </w:r>
    </w:p>
    <w:p>
      <w:pPr>
        <w:pStyle w:val="ListBullet"/>
      </w:pPr>
      <w:r>
        <w:t>KI-Wirkungsrisiko-Check</w:t>
      </w:r>
    </w:p>
    <w:p>
      <w:pPr>
        <w:pStyle w:val="ListBullet"/>
      </w:pPr>
      <w:r>
        <w:t>Datenraum-Reifegradcheck</w:t>
      </w:r>
    </w:p>
    <w:p>
      <w:pPr>
        <w:pStyle w:val="ListBullet"/>
      </w:pPr>
      <w:r>
        <w:t>Digitale Produktpässe</w:t>
      </w:r>
    </w:p>
    <w:p>
      <w:pPr>
        <w:pStyle w:val="ListBullet"/>
      </w:pPr>
      <w:r>
        <w:t>Wirkungsscanner</w:t>
      </w:r>
    </w:p>
    <w:p>
      <w:pPr>
        <w:pStyle w:val="ListBullet"/>
      </w:pPr>
      <w:r>
        <w:t>Algorithmic-Impact-Assessment</w:t>
      </w:r>
    </w:p>
    <w:p>
      <w:pPr>
        <w:pStyle w:val="Heading3"/>
      </w:pPr>
      <w:r>
        <w:t>Wirkungsgrenzen und rote Linien</w:t>
      </w:r>
    </w:p>
    <w:p>
      <w:pPr>
        <w:pStyle w:val="ListBullet"/>
      </w:pPr>
      <w:r>
        <w:t>biometrische Massenüberwachung ohne Schutz und Rechtsweg</w:t>
      </w:r>
    </w:p>
    <w:p>
      <w:pPr>
        <w:pStyle w:val="ListBullet"/>
      </w:pPr>
      <w:r>
        <w:t>manipulative Plattformarchitektur</w:t>
      </w:r>
    </w:p>
    <w:p>
      <w:pPr>
        <w:pStyle w:val="ListBullet"/>
      </w:pPr>
      <w:r>
        <w:t>diskriminierende automatisierte Entscheidungen</w:t>
      </w:r>
    </w:p>
    <w:p>
      <w:pPr>
        <w:pStyle w:val="ListBullet"/>
      </w:pPr>
      <w:r>
        <w:t>fehlende menschliche Kontrolle bei Hochrisikoentscheidungen</w:t>
      </w:r>
    </w:p>
    <w:p>
      <w:pPr>
        <w:pStyle w:val="ListBullet"/>
      </w:pPr>
      <w:r>
        <w:t>Datenmissbrauch ohne wirksame Abhilfe</w:t>
      </w:r>
    </w:p>
    <w:p>
      <w:r>
        <w:t>Website-Hinweis: Diese Dimension soll auf der SDG-/SDG+-Referenzseite als eigener Ankerbereich erscheinen, nicht als separate SDG+-Einzelseite. Der Chip verlinkt auf den Anker #sdgplus-digitale-selbstbestimmung.</w:t>
      </w:r>
    </w:p>
    <w:p>
      <w:pPr>
        <w:pStyle w:val="Heading1"/>
      </w:pPr>
      <w:r>
        <w:t>7. SDG+, WÖk-IDs, Scorecards und Nichtkompensation</w:t>
      </w:r>
    </w:p>
    <w:p>
      <w:r>
        <w:t>SDG+ wird in der Wirkungsökonomie nicht nur als Text- oder Werteebene geführt. Es muss methodisch anschlussfähig werden. Dafür braucht es die Verbindung zu WÖk-IDs, Scorecards, Benchmarks, Datenqualität und Nichtkompensation.</w:t>
      </w:r>
    </w:p>
    <w:p>
      <w:r>
        <w:t>Eine WÖk-ID ordnet einen Indikator einem Zielraum zu. Dieser Zielraum kann ein offizielles SDG sein oder eine SDG+-Dimension. Diese Zuordnung ist noch keine Bewertung. Sie macht sichtbar, welcher Wirkungsraum betroffen ist. Die Bewertung erfolgt erst später über Scorecards, Datenqualität, Benchmarks, rote Linien und gegebenenfalls Reverse Merit Order.</w:t>
      </w:r>
    </w:p>
    <w:tbl>
      <w:tblPr>
        <w:tblStyle w:val="TableGrid"/>
        <w:tblW w:type="auto" w:w="0"/>
        <w:jc w:val="center"/>
        <w:tblLook w:firstColumn="1" w:firstRow="1" w:lastColumn="0" w:lastRow="0" w:noHBand="0" w:noVBand="1" w:val="04A0"/>
      </w:tblPr>
      <w:tblGrid>
        <w:gridCol w:w="3360"/>
        <w:gridCol w:w="3360"/>
        <w:gridCol w:w="3360"/>
      </w:tblGrid>
      <w:tr>
        <w:tc>
          <w:tcPr>
            <w:tcW w:type="dxa" w:w="2736"/>
            <w:shd w:fill="DDEFE9"/>
            <w:vAlign w:val="top"/>
          </w:tcPr>
          <w:p>
            <w:r/>
            <w:r>
              <w:rPr>
                <w:b/>
                <w:color w:val="101625"/>
              </w:rPr>
              <w:t>Methodische Ebene</w:t>
            </w:r>
          </w:p>
        </w:tc>
        <w:tc>
          <w:tcPr>
            <w:tcW w:type="dxa" w:w="4320"/>
            <w:shd w:fill="DDEFE9"/>
            <w:vAlign w:val="top"/>
          </w:tcPr>
          <w:p>
            <w:r/>
            <w:r>
              <w:rPr>
                <w:b/>
                <w:color w:val="101625"/>
              </w:rPr>
              <w:t>Funktion</w:t>
            </w:r>
          </w:p>
        </w:tc>
        <w:tc>
          <w:tcPr>
            <w:tcW w:type="dxa" w:w="4032"/>
            <w:shd w:fill="DDEFE9"/>
            <w:vAlign w:val="top"/>
          </w:tcPr>
          <w:p>
            <w:r/>
            <w:r>
              <w:rPr>
                <w:b/>
                <w:color w:val="101625"/>
              </w:rPr>
              <w:t>Beispiel SDG+</w:t>
            </w:r>
          </w:p>
        </w:tc>
      </w:tr>
      <w:tr>
        <w:tc>
          <w:tcPr>
            <w:tcW w:type="dxa" w:w="2736"/>
            <w:vAlign w:val="top"/>
          </w:tcPr>
          <w:p>
            <w:r/>
            <w:r>
              <w:rPr>
                <w:b w:val="0"/>
              </w:rPr>
              <w:t>Zielbezug</w:t>
            </w:r>
          </w:p>
        </w:tc>
        <w:tc>
          <w:tcPr>
            <w:tcW w:type="dxa" w:w="4320"/>
            <w:vAlign w:val="top"/>
          </w:tcPr>
          <w:p>
            <w:r/>
            <w:r>
              <w:rPr>
                <w:b w:val="0"/>
              </w:rPr>
              <w:t>Ordnet Indikator einem Wirkungsraum zu.</w:t>
            </w:r>
          </w:p>
        </w:tc>
        <w:tc>
          <w:tcPr>
            <w:tcW w:type="dxa" w:w="4032"/>
            <w:vAlign w:val="top"/>
          </w:tcPr>
          <w:p>
            <w:r/>
            <w:r>
              <w:rPr>
                <w:b w:val="0"/>
              </w:rPr>
              <w:t>Medienqualität, Rechtsstaatlichkeit, digitale Selbstbestimmung</w:t>
            </w:r>
          </w:p>
        </w:tc>
      </w:tr>
      <w:tr>
        <w:tc>
          <w:tcPr>
            <w:tcW w:type="dxa" w:w="2736"/>
            <w:vAlign w:val="top"/>
          </w:tcPr>
          <w:p>
            <w:r/>
            <w:r>
              <w:rPr>
                <w:b w:val="0"/>
              </w:rPr>
              <w:t>WÖk-ID</w:t>
            </w:r>
          </w:p>
        </w:tc>
        <w:tc>
          <w:tcPr>
            <w:tcW w:type="dxa" w:w="4320"/>
            <w:vAlign w:val="top"/>
          </w:tcPr>
          <w:p>
            <w:r/>
            <w:r>
              <w:rPr>
                <w:b w:val="0"/>
              </w:rPr>
              <w:t>Adressierbarer Indikator mit Datenquelle und Zielbezug.</w:t>
            </w:r>
          </w:p>
        </w:tc>
        <w:tc>
          <w:tcPr>
            <w:tcW w:type="dxa" w:w="4032"/>
            <w:vAlign w:val="top"/>
          </w:tcPr>
          <w:p>
            <w:r/>
            <w:r>
              <w:rPr>
                <w:b w:val="0"/>
              </w:rPr>
              <w:t>WOK-MED-101 Quellenklarheit, WOK-DIG-102 algorithmische Transparenz</w:t>
            </w:r>
          </w:p>
        </w:tc>
      </w:tr>
      <w:tr>
        <w:tc>
          <w:tcPr>
            <w:tcW w:type="dxa" w:w="2736"/>
            <w:vAlign w:val="top"/>
          </w:tcPr>
          <w:p>
            <w:r/>
            <w:r>
              <w:rPr>
                <w:b w:val="0"/>
              </w:rPr>
              <w:t>Scorecard</w:t>
            </w:r>
          </w:p>
        </w:tc>
        <w:tc>
          <w:tcPr>
            <w:tcW w:type="dxa" w:w="4320"/>
            <w:vAlign w:val="top"/>
          </w:tcPr>
          <w:p>
            <w:r/>
            <w:r>
              <w:rPr>
                <w:b w:val="0"/>
              </w:rPr>
              <w:t>Übersetzt Daten in Wirkungsskalen.</w:t>
            </w:r>
          </w:p>
        </w:tc>
        <w:tc>
          <w:tcPr>
            <w:tcW w:type="dxa" w:w="4032"/>
            <w:vAlign w:val="top"/>
          </w:tcPr>
          <w:p>
            <w:r/>
            <w:r>
              <w:rPr>
                <w:b w:val="0"/>
              </w:rPr>
              <w:t>Pressefreiheit, Desinformationsrisiko, Datenschutzverletzungen</w:t>
            </w:r>
          </w:p>
        </w:tc>
      </w:tr>
      <w:tr>
        <w:tc>
          <w:tcPr>
            <w:tcW w:type="dxa" w:w="2736"/>
            <w:vAlign w:val="top"/>
          </w:tcPr>
          <w:p>
            <w:r/>
            <w:r>
              <w:rPr>
                <w:b w:val="0"/>
              </w:rPr>
              <w:t>Reverse Merit Order</w:t>
            </w:r>
          </w:p>
        </w:tc>
        <w:tc>
          <w:tcPr>
            <w:tcW w:type="dxa" w:w="4320"/>
            <w:vAlign w:val="top"/>
          </w:tcPr>
          <w:p>
            <w:r/>
            <w:r>
              <w:rPr>
                <w:b w:val="0"/>
              </w:rPr>
              <w:t>Verhindert Schönrechnung schwerer negativer Wirkung.</w:t>
            </w:r>
          </w:p>
        </w:tc>
        <w:tc>
          <w:tcPr>
            <w:tcW w:type="dxa" w:w="4032"/>
            <w:vAlign w:val="top"/>
          </w:tcPr>
          <w:p>
            <w:r/>
            <w:r>
              <w:rPr>
                <w:b w:val="0"/>
              </w:rPr>
              <w:t>Gute Klimawerte kompensieren keine demokratiefeindliche Manipulation.</w:t>
            </w:r>
          </w:p>
        </w:tc>
      </w:tr>
      <w:tr>
        <w:tc>
          <w:tcPr>
            <w:tcW w:type="dxa" w:w="2736"/>
            <w:vAlign w:val="top"/>
          </w:tcPr>
          <w:p>
            <w:r/>
            <w:r>
              <w:rPr>
                <w:b w:val="0"/>
              </w:rPr>
              <w:t>Wirkungsrat</w:t>
            </w:r>
          </w:p>
        </w:tc>
        <w:tc>
          <w:tcPr>
            <w:tcW w:type="dxa" w:w="4320"/>
            <w:vAlign w:val="top"/>
          </w:tcPr>
          <w:p>
            <w:r/>
            <w:r>
              <w:rPr>
                <w:b w:val="0"/>
              </w:rPr>
              <w:t>Sichert Weiterentwicklung, Transparenz und Missbrauchsschutz.</w:t>
            </w:r>
          </w:p>
        </w:tc>
        <w:tc>
          <w:tcPr>
            <w:tcW w:type="dxa" w:w="4032"/>
            <w:vAlign w:val="top"/>
          </w:tcPr>
          <w:p>
            <w:r/>
            <w:r>
              <w:rPr>
                <w:b w:val="0"/>
              </w:rPr>
              <w:t>Öffentliche Konsultation zu neuen SDG+-IDs.</w:t>
            </w:r>
          </w:p>
        </w:tc>
      </w:tr>
    </w:tbl>
    <w:p/>
    <w:p>
      <w:r>
        <w:t>Wichtig: SDG+ darf nicht zu einer Personenbewertung führen. Bewertet werden Strukturen, Produkte, Institutionen, Medienräume, Verfahren, Plattformlogiken, Datenpraktiken und Rückkopplungen - nicht der Wert einzelner Menschen.</w:t>
      </w:r>
    </w:p>
    <w:p>
      <w:pPr>
        <w:pStyle w:val="Heading1"/>
      </w:pPr>
      <w:r>
        <w:t>8. Website-Architektur: SDG+ als Teil der SDG-Seite</w:t>
      </w:r>
    </w:p>
    <w:p>
      <w:r>
        <w:t>Für die Website gilt: Es soll keine separate SDG+-Hauptseite entstehen. SDG+ wird als Teil der bestehenden oder neuen Seite „SDG-/SDG+-Referenzrahmen“ geführt. Die Seite erklärt zuerst die 17 SDGs, dann SDG+ als Erweiterung und danach die einzelnen SDG+-Dimensionen mit stabilen Ankern.</w:t>
      </w:r>
    </w:p>
    <w:tbl>
      <w:tblPr>
        <w:tblStyle w:val="TableGrid"/>
        <w:tblW w:type="auto" w:w="0"/>
        <w:jc w:val="center"/>
        <w:tblLook w:firstColumn="1" w:firstRow="1" w:lastColumn="0" w:lastRow="0" w:noHBand="0" w:noVBand="1" w:val="04A0"/>
      </w:tblPr>
      <w:tblGrid>
        <w:gridCol w:w="5040"/>
        <w:gridCol w:w="5040"/>
      </w:tblGrid>
      <w:tr>
        <w:tc>
          <w:tcPr>
            <w:tcW w:type="dxa" w:w="2880"/>
            <w:shd w:fill="DDEFE9"/>
            <w:vAlign w:val="top"/>
          </w:tcPr>
          <w:p>
            <w:r/>
            <w:r>
              <w:rPr>
                <w:b/>
                <w:color w:val="101625"/>
              </w:rPr>
              <w:t>Element</w:t>
            </w:r>
          </w:p>
        </w:tc>
        <w:tc>
          <w:tcPr>
            <w:tcW w:type="dxa" w:w="7920"/>
            <w:shd w:fill="DDEFE9"/>
            <w:vAlign w:val="top"/>
          </w:tcPr>
          <w:p>
            <w:r/>
            <w:r>
              <w:rPr>
                <w:b/>
                <w:color w:val="101625"/>
              </w:rPr>
              <w:t>Website-Umsetzung</w:t>
            </w:r>
          </w:p>
        </w:tc>
      </w:tr>
      <w:tr>
        <w:tc>
          <w:tcPr>
            <w:tcW w:type="dxa" w:w="2880"/>
            <w:vAlign w:val="top"/>
          </w:tcPr>
          <w:p>
            <w:r/>
            <w:r>
              <w:rPr>
                <w:b w:val="0"/>
              </w:rPr>
              <w:t>Kanonische Seite</w:t>
            </w:r>
          </w:p>
        </w:tc>
        <w:tc>
          <w:tcPr>
            <w:tcW w:type="dxa" w:w="7920"/>
            <w:vAlign w:val="top"/>
          </w:tcPr>
          <w:p>
            <w:r/>
            <w:r>
              <w:rPr>
                <w:b w:val="0"/>
              </w:rPr>
              <w:t>/verstehen/sdgs-sdgplus/</w:t>
            </w:r>
          </w:p>
        </w:tc>
      </w:tr>
      <w:tr>
        <w:tc>
          <w:tcPr>
            <w:tcW w:type="dxa" w:w="2880"/>
            <w:vAlign w:val="top"/>
          </w:tcPr>
          <w:p>
            <w:r/>
            <w:r>
              <w:rPr>
                <w:b w:val="0"/>
              </w:rPr>
              <w:t>SDG+ Bereich</w:t>
            </w:r>
          </w:p>
        </w:tc>
        <w:tc>
          <w:tcPr>
            <w:tcW w:type="dxa" w:w="7920"/>
            <w:vAlign w:val="top"/>
          </w:tcPr>
          <w:p>
            <w:r/>
            <w:r>
              <w:rPr>
                <w:b w:val="0"/>
              </w:rPr>
              <w:t>Abschnitt „Warum SDG+?“ und Abschnitt „SDG+ im Detail“</w:t>
            </w:r>
          </w:p>
        </w:tc>
      </w:tr>
      <w:tr>
        <w:tc>
          <w:tcPr>
            <w:tcW w:type="dxa" w:w="2880"/>
            <w:vAlign w:val="top"/>
          </w:tcPr>
          <w:p>
            <w:r/>
            <w:r>
              <w:rPr>
                <w:b w:val="0"/>
              </w:rPr>
              <w:t>Detailzugang</w:t>
            </w:r>
          </w:p>
        </w:tc>
        <w:tc>
          <w:tcPr>
            <w:tcW w:type="dxa" w:w="7920"/>
            <w:vAlign w:val="top"/>
          </w:tcPr>
          <w:p>
            <w:r/>
            <w:r>
              <w:rPr>
                <w:b w:val="0"/>
              </w:rPr>
              <w:t>Anker statt separate Seiten, z. B. #sdgplus-demokratie</w:t>
            </w:r>
          </w:p>
        </w:tc>
      </w:tr>
      <w:tr>
        <w:tc>
          <w:tcPr>
            <w:tcW w:type="dxa" w:w="2880"/>
            <w:vAlign w:val="top"/>
          </w:tcPr>
          <w:p>
            <w:r/>
            <w:r>
              <w:rPr>
                <w:b w:val="0"/>
              </w:rPr>
              <w:t>Chips/Badges</w:t>
            </w:r>
          </w:p>
        </w:tc>
        <w:tc>
          <w:tcPr>
            <w:tcW w:type="dxa" w:w="7920"/>
            <w:vAlign w:val="top"/>
          </w:tcPr>
          <w:p>
            <w:r/>
            <w:r>
              <w:rPr>
                <w:b w:val="0"/>
              </w:rPr>
              <w:t>Hover/Fokus/Tap mit Kurzdefinition; Klick auf Anker</w:t>
            </w:r>
          </w:p>
        </w:tc>
      </w:tr>
      <w:tr>
        <w:tc>
          <w:tcPr>
            <w:tcW w:type="dxa" w:w="2880"/>
            <w:vAlign w:val="top"/>
          </w:tcPr>
          <w:p>
            <w:r/>
            <w:r>
              <w:rPr>
                <w:b w:val="0"/>
              </w:rPr>
              <w:t>Glossar</w:t>
            </w:r>
          </w:p>
        </w:tc>
        <w:tc>
          <w:tcPr>
            <w:tcW w:type="dxa" w:w="7920"/>
            <w:vAlign w:val="top"/>
          </w:tcPr>
          <w:p>
            <w:r/>
            <w:r>
              <w:rPr>
                <w:b w:val="0"/>
              </w:rPr>
              <w:t>SDG+ Eintrag verlinkt auf /verstehen/sdgs-sdgplus/#sdgplus</w:t>
            </w:r>
          </w:p>
        </w:tc>
      </w:tr>
      <w:tr>
        <w:tc>
          <w:tcPr>
            <w:tcW w:type="dxa" w:w="2880"/>
            <w:vAlign w:val="top"/>
          </w:tcPr>
          <w:p>
            <w:r/>
            <w:r>
              <w:rPr>
                <w:b w:val="0"/>
              </w:rPr>
              <w:t>Download</w:t>
            </w:r>
          </w:p>
        </w:tc>
        <w:tc>
          <w:tcPr>
            <w:tcW w:type="dxa" w:w="7920"/>
            <w:vAlign w:val="top"/>
          </w:tcPr>
          <w:p>
            <w:r/>
            <w:r>
              <w:rPr>
                <w:b w:val="0"/>
              </w:rPr>
              <w:t>Word-Dokument als Arbeitspapier herunterladen</w:t>
            </w:r>
          </w:p>
        </w:tc>
      </w:tr>
      <w:tr>
        <w:tc>
          <w:tcPr>
            <w:tcW w:type="dxa" w:w="2880"/>
            <w:vAlign w:val="top"/>
          </w:tcPr>
          <w:p>
            <w:r/>
            <w:r>
              <w:rPr>
                <w:b w:val="0"/>
              </w:rPr>
              <w:t>Druck</w:t>
            </w:r>
          </w:p>
        </w:tc>
        <w:tc>
          <w:tcPr>
            <w:tcW w:type="dxa" w:w="7920"/>
            <w:vAlign w:val="top"/>
          </w:tcPr>
          <w:p>
            <w:r/>
            <w:r>
              <w:rPr>
                <w:b w:val="0"/>
              </w:rPr>
              <w:t>Printbutton und druckoptimierte Ansicht</w:t>
            </w:r>
          </w:p>
        </w:tc>
      </w:tr>
      <w:tr>
        <w:tc>
          <w:tcPr>
            <w:tcW w:type="dxa" w:w="2880"/>
            <w:vAlign w:val="top"/>
          </w:tcPr>
          <w:p>
            <w:r/>
            <w:r>
              <w:rPr>
                <w:b w:val="0"/>
              </w:rPr>
              <w:t>Buchanker</w:t>
            </w:r>
          </w:p>
        </w:tc>
        <w:tc>
          <w:tcPr>
            <w:tcW w:type="dxa" w:w="7920"/>
            <w:vAlign w:val="top"/>
          </w:tcPr>
          <w:p>
            <w:r/>
            <w:r>
              <w:rPr>
                <w:b w:val="0"/>
              </w:rPr>
              <w:t>Exkurs „Warum die SDGs der Referenzrahmen der WÖk sind“, Kapitel zu Demokratie, WÖk-IDs, Scorecards</w:t>
            </w:r>
          </w:p>
        </w:tc>
      </w:tr>
    </w:tbl>
    <w:p/>
    <w:p>
      <w:pPr>
        <w:pStyle w:val="Heading1"/>
      </w:pPr>
      <w:r>
        <w:t>9. Glossar, Hover-Texte und Referenzblöcke</w:t>
      </w:r>
    </w:p>
    <w:p>
      <w:r>
        <w:t>Die Website soll SDG+ in drei Tiefen erklären:</w:t>
      </w:r>
    </w:p>
    <w:p>
      <w:pPr>
        <w:pStyle w:val="ListNumber"/>
      </w:pPr>
      <w:r>
        <w:t>Hover/Chip: ein Satz zur schnellen Orientierung.</w:t>
      </w:r>
    </w:p>
    <w:p>
      <w:pPr>
        <w:pStyle w:val="ListNumber"/>
      </w:pPr>
      <w:r>
        <w:t>Glossar: kurze Definition plus Hinweis, dass SDG+ keine UN-Kategorie ist.</w:t>
      </w:r>
    </w:p>
    <w:p>
      <w:pPr>
        <w:pStyle w:val="ListNumber"/>
      </w:pPr>
      <w:r>
        <w:t>Referenzseite: ausführliche Erklärung mit Unterdimensionen, WÖk-Bedeutung, Quellen und Portalverweisen.</w:t>
      </w:r>
    </w:p>
    <w:tbl>
      <w:tblPr>
        <w:tblStyle w:val="TableGrid"/>
        <w:tblW w:type="auto" w:w="0"/>
        <w:jc w:val="center"/>
        <w:tblLook w:firstColumn="1" w:firstRow="1" w:lastColumn="0" w:lastRow="0" w:noHBand="0" w:noVBand="1" w:val="04A0"/>
      </w:tblPr>
      <w:tblGrid>
        <w:gridCol w:w="5040"/>
        <w:gridCol w:w="5040"/>
      </w:tblGrid>
      <w:tr>
        <w:tc>
          <w:tcPr>
            <w:tcW w:type="dxa" w:w="3168"/>
            <w:shd w:fill="DDEFE9"/>
            <w:vAlign w:val="top"/>
          </w:tcPr>
          <w:p>
            <w:r/>
            <w:r>
              <w:rPr>
                <w:b/>
                <w:color w:val="101625"/>
              </w:rPr>
              <w:t>Begriff</w:t>
            </w:r>
          </w:p>
        </w:tc>
        <w:tc>
          <w:tcPr>
            <w:tcW w:type="dxa" w:w="7632"/>
            <w:shd w:fill="DDEFE9"/>
            <w:vAlign w:val="top"/>
          </w:tcPr>
          <w:p>
            <w:r/>
            <w:r>
              <w:rPr>
                <w:b/>
                <w:color w:val="101625"/>
              </w:rPr>
              <w:t>Glossardefinition</w:t>
            </w:r>
          </w:p>
        </w:tc>
      </w:tr>
      <w:tr>
        <w:tc>
          <w:tcPr>
            <w:tcW w:type="dxa" w:w="3168"/>
            <w:vAlign w:val="top"/>
          </w:tcPr>
          <w:p>
            <w:r/>
            <w:r>
              <w:rPr>
                <w:b w:val="0"/>
              </w:rPr>
              <w:t>SDG+</w:t>
            </w:r>
          </w:p>
        </w:tc>
        <w:tc>
          <w:tcPr>
            <w:tcW w:type="dxa" w:w="7632"/>
            <w:vAlign w:val="top"/>
          </w:tcPr>
          <w:p>
            <w:r/>
            <w:r>
              <w:rPr>
                <w:b w:val="0"/>
              </w:rPr>
              <w:t>SDG+ ist eine transparente Erweiterung der Wirkungsökonomie. Sie ergänzt die 17 SDGs um Demokratie, Medienqualität, Rechtsstaatlichkeit, Diskursfähigkeit, institutionelles Vertrauen, gesellschaftlichen Zusammenhalt und digitale Selbstbestimmung. SDG+ ist keine offizielle UN-Kategorie.</w:t>
            </w:r>
          </w:p>
        </w:tc>
      </w:tr>
      <w:tr>
        <w:tc>
          <w:tcPr>
            <w:tcW w:type="dxa" w:w="3168"/>
            <w:vAlign w:val="top"/>
          </w:tcPr>
          <w:p>
            <w:r/>
            <w:r>
              <w:rPr>
                <w:b w:val="0"/>
              </w:rPr>
              <w:t>SDG-/SDG+-Referenzrahmen</w:t>
            </w:r>
          </w:p>
        </w:tc>
        <w:tc>
          <w:tcPr>
            <w:tcW w:type="dxa" w:w="7632"/>
            <w:vAlign w:val="top"/>
          </w:tcPr>
          <w:p>
            <w:r/>
            <w:r>
              <w:rPr>
                <w:b w:val="0"/>
              </w:rPr>
              <w:t>Öffentlich nachvollziehbarer Bewertungsrahmen, der offizielle SDGs und WÖk-interne SDG+-Dimensionen verbindet.</w:t>
            </w:r>
          </w:p>
        </w:tc>
      </w:tr>
      <w:tr>
        <w:tc>
          <w:tcPr>
            <w:tcW w:type="dxa" w:w="3168"/>
            <w:vAlign w:val="top"/>
          </w:tcPr>
          <w:p>
            <w:r/>
            <w:r>
              <w:rPr>
                <w:b w:val="0"/>
              </w:rPr>
              <w:t>Positive Netto-Wirkung</w:t>
            </w:r>
          </w:p>
        </w:tc>
        <w:tc>
          <w:tcPr>
            <w:tcW w:type="dxa" w:w="7632"/>
            <w:vAlign w:val="top"/>
          </w:tcPr>
          <w:p>
            <w:r/>
            <w:r>
              <w:rPr>
                <w:b w:val="0"/>
              </w:rPr>
              <w:t>Zielgröße der WÖk: positive Zustandsveränderung für Mensch, Planet und Demokratie unter Beachtung roter Linien und Nichtkompensation.</w:t>
            </w:r>
          </w:p>
        </w:tc>
      </w:tr>
      <w:tr>
        <w:tc>
          <w:tcPr>
            <w:tcW w:type="dxa" w:w="3168"/>
            <w:vAlign w:val="top"/>
          </w:tcPr>
          <w:p>
            <w:r/>
            <w:r>
              <w:rPr>
                <w:b w:val="0"/>
              </w:rPr>
              <w:t>Wirkungsgrenze</w:t>
            </w:r>
          </w:p>
        </w:tc>
        <w:tc>
          <w:tcPr>
            <w:tcW w:type="dxa" w:w="7632"/>
            <w:vAlign w:val="top"/>
          </w:tcPr>
          <w:p>
            <w:r/>
            <w:r>
              <w:rPr>
                <w:b w:val="0"/>
              </w:rPr>
              <w:t>Rote Linie, ab der schwere negative Wirkung nicht durch positive Einzelwerte kompensiert werden darf.</w:t>
            </w:r>
          </w:p>
        </w:tc>
      </w:tr>
    </w:tbl>
    <w:p/>
    <w:p>
      <w:pPr>
        <w:pStyle w:val="Heading1"/>
      </w:pPr>
      <w:r>
        <w:t>10. Governance, Pflegeprozess und Missbrauchsschutz</w:t>
      </w:r>
    </w:p>
    <w:p>
      <w:r>
        <w:t>SDG+ ist ein WÖk-interner Referenzrahmen und muss entsprechend gepflegt werden. Damit SDG+ nicht beliebig, moralistisch oder technokratisch wird, braucht es transparente Regeln:</w:t>
      </w:r>
    </w:p>
    <w:p>
      <w:pPr>
        <w:pStyle w:val="ListBullet"/>
      </w:pPr>
      <w:r>
        <w:t>Jede SDG+-Dimension braucht eine nachvollziehbare Definition.</w:t>
      </w:r>
    </w:p>
    <w:p>
      <w:pPr>
        <w:pStyle w:val="ListBullet"/>
      </w:pPr>
      <w:r>
        <w:t>Jede Erweiterung muss begründen, warum der Aspekt nicht ausreichend durch die 17 SDGs abgedeckt ist.</w:t>
      </w:r>
    </w:p>
    <w:p>
      <w:pPr>
        <w:pStyle w:val="ListBullet"/>
      </w:pPr>
      <w:r>
        <w:t>Jede SDG+-Dimension braucht eine Verbindung zu Mensch, Planet und Demokratie.</w:t>
      </w:r>
    </w:p>
    <w:p>
      <w:pPr>
        <w:pStyle w:val="ListBullet"/>
      </w:pPr>
      <w:r>
        <w:t>Jede operative Nutzung in Scorecards braucht Datenqualität, Prüfpfad und Rechtsschutz.</w:t>
      </w:r>
    </w:p>
    <w:p>
      <w:pPr>
        <w:pStyle w:val="ListBullet"/>
      </w:pPr>
      <w:r>
        <w:t>SDG+ darf nicht für Personenbewertung, Social Credit oder Gesinnungskontrolle genutzt werden.</w:t>
      </w:r>
    </w:p>
    <w:p>
      <w:pPr>
        <w:pStyle w:val="ListBullet"/>
      </w:pPr>
      <w:r>
        <w:t>Der Wirkungsrat oder ein vergleichbares unabhängiges Gremium sollte SDG+-IDs, Benchmarks und rote Linien regelmäßig prüfen.</w:t>
      </w:r>
    </w:p>
    <w:p>
      <w:pPr>
        <w:pStyle w:val="ListBullet"/>
      </w:pPr>
      <w:r>
        <w:t>Änderungen sollten öffentlich dokumentiert und versioniert werden.</w:t>
      </w:r>
    </w:p>
    <w:tbl>
      <w:tblPr>
        <w:tblW w:type="auto" w:w="0"/>
        <w:jc w:val="center"/>
        <w:tblLook w:firstColumn="1" w:firstRow="1" w:lastColumn="0" w:lastRow="0" w:noHBand="0" w:noVBand="1" w:val="04A0"/>
      </w:tblPr>
      <w:tblGrid>
        <w:gridCol w:w="10080"/>
      </w:tblGrid>
      <w:tr>
        <w:tc>
          <w:tcPr>
            <w:tcW w:type="dxa" w:w="10080"/>
            <w:shd w:fill="EAF4F0"/>
          </w:tcPr>
          <w:p>
            <w:pPr>
              <w:ind w:left="72" w:right="72"/>
            </w:pPr>
            <w:r>
              <w:rPr>
                <w:b/>
                <w:color w:val="176F59"/>
                <w:sz w:val="20"/>
              </w:rPr>
              <w:t>Missbrauchsschutz</w:t>
            </w:r>
          </w:p>
          <w:p>
            <w:pPr>
              <w:spacing w:after="0"/>
              <w:ind w:left="72" w:right="72"/>
            </w:pPr>
            <w:r>
              <w:t>SDG+ ist kein Wahrheitsmonopol. Es ist ein strukturierter Referenzrahmen für Wirkungsräume, die demokratische, mediale, rechtsstaatliche und digitale Korrekturfähigkeit betreffen. Seine Anwendung braucht Transparenz, Rechtsschutz, Begrenzung und demokratische Kontrolle.</w:t>
            </w:r>
          </w:p>
        </w:tc>
      </w:tr>
    </w:tbl>
    <w:p/>
    <w:p>
      <w:pPr>
        <w:pStyle w:val="Heading1"/>
      </w:pPr>
      <w:r>
        <w:t>11. Quellen und Referenzen</w:t>
      </w:r>
    </w:p>
    <w:p>
      <w:pPr>
        <w:pStyle w:val="Heading2"/>
      </w:pPr>
      <w:r>
        <w:t>11.1 Interne WÖk-Quellen</w:t>
      </w:r>
    </w:p>
    <w:p>
      <w:pPr>
        <w:pStyle w:val="ListBullet"/>
      </w:pPr>
      <w:r>
        <w:rPr>
          <w:b/>
        </w:rPr>
        <w:t xml:space="preserve">WOeK_Begriffsleitfaden_fuehrend_v1.0.md: </w:t>
      </w:r>
      <w:r>
        <w:t>Führendes Referenzdokument: Wirkung ist neutral und relational; bewertet wird am Referenzrahmen SDGs, Agenda 2030 und SDG+; Ziel ist positive Netto-Wirkung für Mensch, Planet und Demokratie.</w:t>
      </w:r>
    </w:p>
    <w:p>
      <w:pPr>
        <w:pStyle w:val="ListBullet"/>
      </w:pPr>
      <w:r>
        <w:rPr>
          <w:b/>
        </w:rPr>
        <w:t xml:space="preserve">Natalie-Weber_Die neue Ordnung des Wohlstands_2026.pdf: </w:t>
      </w:r>
      <w:r>
        <w:t>Exkurs: Warum die SDGs der Referenzrahmen der Wirkungsökonomie sind; SDG+ als Erweiterung; Kapitel zu Demokratie als Wirkungsraum, WÖk-IDs und Wirkungsmethodik.</w:t>
      </w:r>
    </w:p>
    <w:p>
      <w:pPr>
        <w:pStyle w:val="ListBullet"/>
      </w:pPr>
      <w:r>
        <w:rPr>
          <w:b/>
        </w:rPr>
        <w:t xml:space="preserve">Systemmodell der Wirkungsökonomie: </w:t>
      </w:r>
      <w:r>
        <w:t>Systemische Ordnungskarte Mensch-Planet-Demokratie; Dimensionen Staat &amp; Recht, Medien &amp; Öffentlichkeit, Wissen/Innovation/Digitalisierung, Gesellschaft &amp; Soziales.</w:t>
      </w:r>
    </w:p>
    <w:p>
      <w:pPr>
        <w:pStyle w:val="ListBullet"/>
      </w:pPr>
      <w:r>
        <w:rPr>
          <w:b/>
        </w:rPr>
        <w:t xml:space="preserve">Leitbild für Mensch, Planet und Demokratie: </w:t>
      </w:r>
      <w:r>
        <w:t>Normativer Kern: Mensch, Planet und Demokratie als Leitformel.</w:t>
      </w:r>
    </w:p>
    <w:p>
      <w:pPr>
        <w:pStyle w:val="ListBullet"/>
      </w:pPr>
      <w:r>
        <w:rPr>
          <w:b/>
        </w:rPr>
        <w:t xml:space="preserve">WStG_Oktober2025.pdf: </w:t>
      </w:r>
      <w:r>
        <w:t>Wirkungssteuergesetz verweist in § 1 auf SDGs und SDG+-Dimensionen als steuerlichen Referenzrahmen.</w:t>
      </w:r>
    </w:p>
    <w:p>
      <w:pPr>
        <w:pStyle w:val="ListBullet"/>
      </w:pPr>
      <w:r>
        <w:rPr>
          <w:b/>
        </w:rPr>
        <w:t xml:space="preserve">WOeK_Master_Items_final_v1.2: </w:t>
      </w:r>
      <w:r>
        <w:t>WÖk-IDs ordnen Indikatoren SDGs und SDG+ zu und machen Zielbezug operativ anschlussfähig.</w:t>
      </w:r>
    </w:p>
    <w:p>
      <w:pPr>
        <w:pStyle w:val="Heading2"/>
      </w:pPr>
      <w:r>
        <w:t>11.2 Externe Referenzen</w:t>
      </w:r>
    </w:p>
    <w:p>
      <w:pPr>
        <w:pStyle w:val="ListBullet"/>
      </w:pPr>
      <w:r>
        <w:rPr>
          <w:b/>
        </w:rPr>
        <w:t xml:space="preserve">United Nations - 2030 Agenda: </w:t>
      </w:r>
      <w:r>
        <w:t xml:space="preserve">Offizieller Text der Agenda 2030 als Plan of Action for people, planet and prosperity. </w:t>
      </w:r>
      <w:hyperlink r:id="rId11">
        <w:r>
          <w:rPr>
            <w:color w:val="176F59"/>
            <w:u w:val="single"/>
          </w:rPr>
          <w:t>https://sdgs.un.org/2030agenda</w:t>
        </w:r>
      </w:hyperlink>
    </w:p>
    <w:p>
      <w:pPr>
        <w:pStyle w:val="ListBullet"/>
      </w:pPr>
      <w:r>
        <w:rPr>
          <w:b/>
        </w:rPr>
        <w:t xml:space="preserve">United Nations - The 17 Sustainable Development Goals: </w:t>
      </w:r>
      <w:r>
        <w:t xml:space="preserve">Offizielle Übersicht der 17 SDGs und ihrer Zielstruktur. </w:t>
      </w:r>
      <w:hyperlink r:id="rId12">
        <w:r>
          <w:rPr>
            <w:color w:val="176F59"/>
            <w:u w:val="single"/>
          </w:rPr>
          <w:t>https://sdgs.un.org/goals</w:t>
        </w:r>
      </w:hyperlink>
    </w:p>
    <w:p>
      <w:pPr>
        <w:pStyle w:val="ListBullet"/>
      </w:pPr>
      <w:r>
        <w:rPr>
          <w:b/>
        </w:rPr>
        <w:t xml:space="preserve">UN Statistics Division - SDG Indicator Framework: </w:t>
      </w:r>
      <w:r>
        <w:t xml:space="preserve">Offizielle Liste und Fortschreibungen des globalen Indikatorenrahmens. </w:t>
      </w:r>
      <w:hyperlink r:id="rId13">
        <w:r>
          <w:rPr>
            <w:color w:val="176F59"/>
            <w:u w:val="single"/>
          </w:rPr>
          <w:t>https://unstats.un.org/sdgs/indicators/indicators-list/</w:t>
        </w:r>
      </w:hyperlink>
    </w:p>
    <w:p>
      <w:pPr>
        <w:pStyle w:val="ListBullet"/>
      </w:pPr>
      <w:r>
        <w:rPr>
          <w:b/>
        </w:rPr>
        <w:t xml:space="preserve">Destatis - SDG-Indikatoren Deutschland: </w:t>
      </w:r>
      <w:r>
        <w:t xml:space="preserve">Datenplattform für Deutschlands SDG-Indikatoren. </w:t>
      </w:r>
      <w:hyperlink r:id="rId14">
        <w:r>
          <w:rPr>
            <w:color w:val="176F59"/>
            <w:u w:val="single"/>
          </w:rPr>
          <w:t>https://sdg-indikatoren.de/</w:t>
        </w:r>
      </w:hyperlink>
    </w:p>
    <w:p>
      <w:pPr>
        <w:pStyle w:val="ListBullet"/>
      </w:pPr>
      <w:r>
        <w:rPr>
          <w:b/>
        </w:rPr>
        <w:t xml:space="preserve">DNS-Indikatoren: </w:t>
      </w:r>
      <w:r>
        <w:t xml:space="preserve">Indikatoren der Deutschen Nachhaltigkeitsstrategie. </w:t>
      </w:r>
      <w:hyperlink r:id="rId15">
        <w:r>
          <w:rPr>
            <w:color w:val="176F59"/>
            <w:u w:val="single"/>
          </w:rPr>
          <w:t>https://dns-indikatoren.de/</w:t>
        </w:r>
      </w:hyperlink>
    </w:p>
    <w:p>
      <w:pPr>
        <w:pStyle w:val="ListBullet"/>
      </w:pPr>
      <w:r>
        <w:rPr>
          <w:b/>
        </w:rPr>
        <w:t xml:space="preserve">Eurostat - Sustainable Development Goals: </w:t>
      </w:r>
      <w:r>
        <w:t xml:space="preserve">EU-Kontext, EU-SDG-Indikatorenset und Monitoringberichte. </w:t>
      </w:r>
      <w:hyperlink r:id="rId16">
        <w:r>
          <w:rPr>
            <w:color w:val="176F59"/>
            <w:u w:val="single"/>
          </w:rPr>
          <w:t>https://ec.europa.eu/eurostat/web/sdi</w:t>
        </w:r>
      </w:hyperlink>
    </w:p>
    <w:p>
      <w:pPr>
        <w:pStyle w:val="ListBullet"/>
      </w:pPr>
      <w:r>
        <w:rPr>
          <w:b/>
        </w:rPr>
        <w:t xml:space="preserve">UNESCO - Internet Universality ROAM-X Indicators: </w:t>
      </w:r>
      <w:r>
        <w:t xml:space="preserve">Referenz für Rechte, Offenheit, Zugänglichkeit, Multistakeholder-Governance und Inklusion digitaler Räume. </w:t>
      </w:r>
      <w:hyperlink r:id="rId17">
        <w:r>
          <w:rPr>
            <w:color w:val="176F59"/>
            <w:u w:val="single"/>
          </w:rPr>
          <w:t>https://www.unesco.org/en/articles/how-measure-internet-unescos-internet-universality-roam-x-indicators-now-also-available-russian</w:t>
        </w:r>
      </w:hyperlink>
    </w:p>
    <w:p>
      <w:pPr>
        <w:pStyle w:val="ListBullet"/>
      </w:pPr>
      <w:r>
        <w:rPr>
          <w:b/>
        </w:rPr>
        <w:t xml:space="preserve">World Justice Project - Factors of the Rule of Law: </w:t>
      </w:r>
      <w:r>
        <w:t xml:space="preserve">Referenz für Rechtsstaatlichkeitsdimensionen wie Machtbegrenzung, Grundrechte, offene Regierung und Justiz. </w:t>
      </w:r>
      <w:hyperlink r:id="rId18">
        <w:r>
          <w:rPr>
            <w:color w:val="176F59"/>
            <w:u w:val="single"/>
          </w:rPr>
          <w:t>https://worldjusticeproject.org/our-work/research-and-data/factors-rule-law</w:t>
        </w:r>
      </w:hyperlink>
    </w:p>
    <w:p>
      <w:pPr>
        <w:pStyle w:val="ListBullet"/>
      </w:pPr>
      <w:r>
        <w:rPr>
          <w:b/>
        </w:rPr>
        <w:t xml:space="preserve">V-Dem Institute - Democracy Reports: </w:t>
      </w:r>
      <w:r>
        <w:t xml:space="preserve">Referenz für Demokratieindikatoren und Demokratietypen. </w:t>
      </w:r>
      <w:hyperlink r:id="rId19">
        <w:r>
          <w:rPr>
            <w:color w:val="176F59"/>
            <w:u w:val="single"/>
          </w:rPr>
          <w:t>https://www.v-dem.net/publications/democracy-reports/</w:t>
        </w:r>
      </w:hyperlink>
    </w:p>
    <w:p>
      <w:pPr>
        <w:pStyle w:val="ListBullet"/>
      </w:pPr>
      <w:r>
        <w:rPr>
          <w:b/>
        </w:rPr>
        <w:t xml:space="preserve">Reporters Without Borders - World Press Freedom Index methodology: </w:t>
      </w:r>
      <w:r>
        <w:t xml:space="preserve">Referenz für Dimensionen von Pressefreiheit. </w:t>
      </w:r>
      <w:hyperlink r:id="rId20">
        <w:r>
          <w:rPr>
            <w:color w:val="176F59"/>
            <w:u w:val="single"/>
          </w:rPr>
          <w:t>https://rsf.org/en/index-methodologie-2022</w:t>
        </w:r>
      </w:hyperlink>
    </w:p>
    <w:p>
      <w:pPr>
        <w:pStyle w:val="ListBullet"/>
      </w:pPr>
      <w:r>
        <w:rPr>
          <w:b/>
        </w:rPr>
        <w:t xml:space="preserve">OECD - Drivers of Trust in Public Institutions: </w:t>
      </w:r>
      <w:r>
        <w:t xml:space="preserve">Referenz für Vertrauen in öffentliche Institutionen. </w:t>
      </w:r>
      <w:hyperlink r:id="rId21">
        <w:r>
          <w:rPr>
            <w:color w:val="176F59"/>
            <w:u w:val="single"/>
          </w:rPr>
          <w:t>https://www.oecd.org/en/publications/oecd-survey-on-drivers-of-trust-in-public-institutions-2024-results_9a20554b-en.html</w:t>
        </w:r>
      </w:hyperlink>
    </w:p>
    <w:p>
      <w:pPr>
        <w:pStyle w:val="ListBullet"/>
      </w:pPr>
      <w:r>
        <w:rPr>
          <w:b/>
        </w:rPr>
        <w:t xml:space="preserve">UNDP - Information integrity: </w:t>
      </w:r>
      <w:r>
        <w:t xml:space="preserve">Referenz für Informationsintegrität, Vertrauen und demokratische Resilienz. </w:t>
      </w:r>
      <w:hyperlink r:id="rId22">
        <w:r>
          <w:rPr>
            <w:color w:val="176F59"/>
            <w:u w:val="single"/>
          </w:rPr>
          <w:t>https://www.undp.org/sites/g/files/zskgke326/files/2022-02/UNDP-Information-Integrity-Forging-a-Pathway-to-Truth-Resilience-and-Trust.pdf</w:t>
        </w:r>
      </w:hyperlink>
    </w:p>
    <w:p>
      <w:pPr>
        <w:pStyle w:val="Heading1"/>
      </w:pPr>
      <w:r>
        <w:t>Anhang A: Datenmodell für SDG+ auf der Website</w:t>
      </w:r>
    </w:p>
    <w:p>
      <w:r>
        <w:t>Die folgende Struktur kann für JavaScript, JSON, Markdown-Frontmatter oder Content Collections genutzt werden. Sie ist bewusst generisch, damit sie in bestehende Website-Architekturen integriert werden kann.</w:t>
      </w:r>
    </w:p>
    <w:p>
      <w:r>
        <w:rPr>
          <w:rFonts w:ascii="Consolas" w:hAnsi="Consolas"/>
          <w:sz w:val="18"/>
        </w:rPr>
        <w:t>{</w:t>
      </w:r>
    </w:p>
    <w:p>
      <w:r>
        <w:rPr>
          <w:rFonts w:ascii="Consolas" w:hAnsi="Consolas"/>
          <w:sz w:val="18"/>
        </w:rPr>
        <w:t xml:space="preserve">  id: "sdgplus-demokratie",</w:t>
      </w:r>
    </w:p>
    <w:p>
      <w:r>
        <w:rPr>
          <w:rFonts w:ascii="Consolas" w:hAnsi="Consolas"/>
          <w:sz w:val="18"/>
        </w:rPr>
        <w:t xml:space="preserve">  type: "sdgplus",</w:t>
      </w:r>
    </w:p>
    <w:p>
      <w:r>
        <w:rPr>
          <w:rFonts w:ascii="Consolas" w:hAnsi="Consolas"/>
          <w:sz w:val="18"/>
        </w:rPr>
        <w:t xml:space="preserve">  title: "SDG+ Demokratie",</w:t>
      </w:r>
    </w:p>
    <w:p>
      <w:r>
        <w:rPr>
          <w:rFonts w:ascii="Consolas" w:hAnsi="Consolas"/>
          <w:sz w:val="18"/>
        </w:rPr>
        <w:t xml:space="preserve">  slug: "sdgplus-demokratie",</w:t>
      </w:r>
    </w:p>
    <w:p>
      <w:r>
        <w:rPr>
          <w:rFonts w:ascii="Consolas" w:hAnsi="Consolas"/>
          <w:sz w:val="18"/>
        </w:rPr>
        <w:t xml:space="preserve">  anchor: "#sdgplus-demokratie",</w:t>
      </w:r>
    </w:p>
    <w:p>
      <w:r>
        <w:rPr>
          <w:rFonts w:ascii="Consolas" w:hAnsi="Consolas"/>
          <w:sz w:val="18"/>
        </w:rPr>
        <w:t xml:space="preserve">  hoverText: "Demokratische Stabilitaet, Teilhabe, Streitfaehigkeit und Korrekturfaehigkeit als Wirkungsbedingung.",</w:t>
      </w:r>
    </w:p>
    <w:p>
      <w:r>
        <w:rPr>
          <w:rFonts w:ascii="Consolas" w:hAnsi="Consolas"/>
          <w:sz w:val="18"/>
        </w:rPr>
        <w:t xml:space="preserve">  isOfficialUNGoal: false,</w:t>
      </w:r>
    </w:p>
    <w:p>
      <w:r>
        <w:rPr>
          <w:rFonts w:ascii="Consolas" w:hAnsi="Consolas"/>
          <w:sz w:val="18"/>
        </w:rPr>
        <w:t xml:space="preserve">  note: "SDG+ ist eine transparente Erweiterung der Wirkungsökonomie, keine offizielle UN-Kategorie.",</w:t>
      </w:r>
    </w:p>
    <w:p>
      <w:r>
        <w:rPr>
          <w:rFonts w:ascii="Consolas" w:hAnsi="Consolas"/>
          <w:sz w:val="18"/>
        </w:rPr>
        <w:t xml:space="preserve">  relatedSdgs: ["sdg-16", "sdg-4", "sdg-10", "sdg-17"],</w:t>
      </w:r>
    </w:p>
    <w:p>
      <w:r>
        <w:rPr>
          <w:rFonts w:ascii="Consolas" w:hAnsi="Consolas"/>
          <w:sz w:val="18"/>
        </w:rPr>
        <w:t xml:space="preserve">  relatedWirkungsfelder: ["staat-recht-demokratie", "medien-oeffentlichkeit", "bildung"],</w:t>
      </w:r>
    </w:p>
    <w:p>
      <w:r>
        <w:rPr>
          <w:rFonts w:ascii="Consolas" w:hAnsi="Consolas"/>
          <w:sz w:val="18"/>
        </w:rPr>
        <w:t xml:space="preserve">  relatedWerkzeuge: ["woek-ids", "wirkungsrat", "wirkungshaushalt"],</w:t>
      </w:r>
    </w:p>
    <w:p>
      <w:r>
        <w:rPr>
          <w:rFonts w:ascii="Consolas" w:hAnsi="Consolas"/>
          <w:sz w:val="18"/>
        </w:rPr>
        <w:t xml:space="preserve">  redLines: ["Wahlmanipulation", "Abbau unabhängiger Gerichte", "staatlich organisierte Desinformation"]</w:t>
      </w:r>
    </w:p>
    <w:p>
      <w:r>
        <w:rPr>
          <w:rFonts w:ascii="Consolas" w:hAnsi="Consolas"/>
          <w:sz w:val="18"/>
        </w:rPr>
        <w:t>}</w:t>
      </w:r>
    </w:p>
    <w:p>
      <w:pPr>
        <w:pStyle w:val="Heading1"/>
      </w:pPr>
      <w:r>
        <w:t>Anhang B: Website-Pflichttexte</w:t>
      </w:r>
    </w:p>
    <w:p>
      <w:r>
        <w:t>Pflichttext für jeden SDG+-Bereich:</w:t>
      </w:r>
    </w:p>
    <w:tbl>
      <w:tblPr>
        <w:tblW w:type="auto" w:w="0"/>
        <w:jc w:val="center"/>
        <w:tblLook w:firstColumn="1" w:firstRow="1" w:lastColumn="0" w:lastRow="0" w:noHBand="0" w:noVBand="1" w:val="04A0"/>
      </w:tblPr>
      <w:tblGrid>
        <w:gridCol w:w="10080"/>
      </w:tblGrid>
      <w:tr>
        <w:tc>
          <w:tcPr>
            <w:tcW w:type="dxa" w:w="10080"/>
            <w:shd w:fill="F3F0E8"/>
          </w:tcPr>
          <w:p>
            <w:pPr>
              <w:ind w:left="72" w:right="72"/>
            </w:pPr>
            <w:r>
              <w:rPr>
                <w:b/>
                <w:color w:val="176F59"/>
                <w:sz w:val="20"/>
              </w:rPr>
              <w:t>Pflichttext</w:t>
            </w:r>
          </w:p>
          <w:p>
            <w:pPr>
              <w:spacing w:after="0"/>
              <w:ind w:left="72" w:right="72"/>
            </w:pPr>
            <w:r>
              <w:t>SDG+ ist keine offizielle UN-Kategorie, sondern eine transparente Erweiterung der Wirkungsökonomie. Sie ergänzt die 17 SDGs um demokratische, mediale, rechtsstaatliche, soziale und digitale Voraussetzungen, ohne die positive Netto-Wirkung für Mensch, Planet und Demokratie nicht stabil erreicht werden kann.</w:t>
            </w:r>
          </w:p>
        </w:tc>
      </w:tr>
    </w:tbl>
    <w:p/>
    <w:p>
      <w:r>
        <w:t>Pflichttext für den Downloadbereich:</w:t>
      </w:r>
    </w:p>
    <w:tbl>
      <w:tblPr>
        <w:tblW w:type="auto" w:w="0"/>
        <w:jc w:val="center"/>
        <w:tblLook w:firstColumn="1" w:firstRow="1" w:lastColumn="0" w:lastRow="0" w:noHBand="0" w:noVBand="1" w:val="04A0"/>
      </w:tblPr>
      <w:tblGrid>
        <w:gridCol w:w="10080"/>
      </w:tblGrid>
      <w:tr>
        <w:tc>
          <w:tcPr>
            <w:tcW w:type="dxa" w:w="10080"/>
            <w:shd w:fill="F3F0E8"/>
          </w:tcPr>
          <w:p>
            <w:pPr>
              <w:ind w:left="72" w:right="72"/>
            </w:pPr>
            <w:r>
              <w:rPr>
                <w:b/>
                <w:color w:val="176F59"/>
                <w:sz w:val="20"/>
              </w:rPr>
              <w:t>Download</w:t>
            </w:r>
          </w:p>
          <w:p>
            <w:pPr>
              <w:spacing w:after="0"/>
              <w:ind w:left="72" w:right="72"/>
            </w:pPr>
            <w:r>
              <w:t>Das Arbeitspapier „SDG+ als Erweiterung des SDG-Referenzrahmens“ enthält Definitionen, Begründung, Unterdimensionen, WÖk-ID-Anschluss, Website-Hovertexte, Glossarlogik und Quellen. Es dient als öffentliche Arbeitsfassung und wird fortlaufend aktualisiert.</w:t>
            </w:r>
          </w:p>
        </w:tc>
      </w:tr>
    </w:tbl>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 2026 Natalie Weber - Arbeitsfassung v0.1 - wirkungsoekonomie.de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66666"/>
        <w:sz w:val="16"/>
      </w:rPr>
      <w:t>SDG+ Referenzrahmen der Wirkungsökonomie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101625"/>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76F59"/>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01625"/>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101625"/>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01625"/>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yebrow">
    <w:name w:val="Eyebrow"/>
    <w:rPr>
      <w:rFonts w:ascii="Aptos" w:hAnsi="Aptos"/>
      <w:b/>
      <w:color w:val="176F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sdgs.un.org/2030agenda" TargetMode="External"/><Relationship Id="rId12" Type="http://schemas.openxmlformats.org/officeDocument/2006/relationships/hyperlink" Target="https://sdgs.un.org/goals" TargetMode="External"/><Relationship Id="rId13" Type="http://schemas.openxmlformats.org/officeDocument/2006/relationships/hyperlink" Target="https://unstats.un.org/sdgs/indicators/indicators-list/" TargetMode="External"/><Relationship Id="rId14" Type="http://schemas.openxmlformats.org/officeDocument/2006/relationships/hyperlink" Target="https://sdg-indikatoren.de/" TargetMode="External"/><Relationship Id="rId15" Type="http://schemas.openxmlformats.org/officeDocument/2006/relationships/hyperlink" Target="https://dns-indikatoren.de/" TargetMode="External"/><Relationship Id="rId16" Type="http://schemas.openxmlformats.org/officeDocument/2006/relationships/hyperlink" Target="https://ec.europa.eu/eurostat/web/sdi" TargetMode="External"/><Relationship Id="rId17" Type="http://schemas.openxmlformats.org/officeDocument/2006/relationships/hyperlink" Target="https://www.unesco.org/en/articles/how-measure-internet-unescos-internet-universality-roam-x-indicators-now-also-available-russian" TargetMode="External"/><Relationship Id="rId18" Type="http://schemas.openxmlformats.org/officeDocument/2006/relationships/hyperlink" Target="https://worldjusticeproject.org/our-work/research-and-data/factors-rule-law" TargetMode="External"/><Relationship Id="rId19" Type="http://schemas.openxmlformats.org/officeDocument/2006/relationships/hyperlink" Target="https://www.v-dem.net/publications/democracy-reports/" TargetMode="External"/><Relationship Id="rId20" Type="http://schemas.openxmlformats.org/officeDocument/2006/relationships/hyperlink" Target="https://rsf.org/en/index-methodologie-2022" TargetMode="External"/><Relationship Id="rId21" Type="http://schemas.openxmlformats.org/officeDocument/2006/relationships/hyperlink" Target="https://www.oecd.org/en/publications/oecd-survey-on-drivers-of-trust-in-public-institutions-2024-results_9a20554b-en.html" TargetMode="External"/><Relationship Id="rId22" Type="http://schemas.openxmlformats.org/officeDocument/2006/relationships/hyperlink" Target="https://www.undp.org/sites/g/files/zskgke326/files/2022-02/UNDP-Information-Integrity-Forging-a-Pathway-to-Truth-Resilience-and-Tr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