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Meta"/>
        <w:jc w:val="left"/>
      </w:pPr>
      <w:r>
        <w:t>WIRKUNGSÖKONOMIE</w:t>
      </w:r>
    </w:p>
    <w:p>
      <w:pPr>
        <w:pStyle w:val="Title"/>
      </w:pPr>
      <w:r>
        <w:t>Dossier Arbeit &amp; Einkommen / Automatisierung</w:t>
      </w:r>
    </w:p>
    <w:p>
      <w:pPr>
        <w:pStyle w:val="Heading2"/>
      </w:pPr>
      <w:r>
        <w:t>Beispiele, Rechenlogik, Datenquellen, politische Optionen und Tool-Logik</w:t>
      </w:r>
    </w:p>
    <w:p>
      <w:pPr>
        <w:pStyle w:val="PullQuote"/>
      </w:pPr>
      <w:r>
        <w:t>Wirkung statt Kapital. Für Mensch, Planet und Demokratie.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BF4E4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Autorin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Natalie Weber</w:t>
            </w:r>
          </w:p>
        </w:tc>
      </w:tr>
      <w:t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Referenz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Wirkungsökonomie</w:t>
            </w:r>
          </w:p>
        </w:tc>
      </w:tr>
      <w:tr>
        <w:tc>
          <w:tcPr>
            <w:tcW w:type="dxa" w:w="5112"/>
            <w:shd w:fill="FBF4E4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Stand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24. Mai 2026</w:t>
            </w:r>
          </w:p>
        </w:tc>
      </w:tr>
      <w:t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Version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v0.1</w:t>
            </w:r>
          </w:p>
        </w:tc>
      </w:tr>
      <w:tr>
        <w:tc>
          <w:tcPr>
            <w:tcW w:type="dxa" w:w="5112"/>
            <w:shd w:fill="FBF4E4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Status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Dossier / Diskussionsfassung</w:t>
            </w:r>
          </w:p>
        </w:tc>
      </w:tr>
      <w:t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Öffentlichkeit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Öffentliche Arbeitsfassung. Keine internen CodeX- oder Repository-Anweisungen enthalten.</w:t>
            </w:r>
          </w:p>
        </w:tc>
      </w:tr>
    </w:tbl>
    <w:p>
      <w:pPr/>
      <w:r>
        <w:t>Hinweis: Dieses Dokument beschreibt ein wirkungsökonomisches Konzept. Es ist keine Rechts-, Steuer-, Anlage- oder Sozialberatung. Rechenmodelle sind als Arbeitsannahmen gekennzeichnet.</w:t>
      </w:r>
    </w:p>
    <w:p>
      <w:r>
        <w:br w:type="page"/>
      </w:r>
    </w:p>
    <w:p>
      <w:pPr>
        <w:pStyle w:val="Heading1"/>
      </w:pPr>
      <w:r>
        <w:t>Kurzüberblick</w:t>
      </w:r>
    </w:p>
    <w:p>
      <w:r>
        <w:t>Dieses Dossier übersetzt das Konzept Arbeit &amp; Einkommen / Automatisierung in praktische Anwendungslogik. Es beschreibt Datenquellen, Beispielrechnungen, Wirkungsindikatoren, Tools und Übergangsmodelle. Alle Zahlenbeispiele sind modellhafte Arbeitsannahmen und ersetzen keine amtlichen Berechnungen.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4EF"/>
            <w:tcBorders>
              <w:top w:val="single" w:sz="8" w:space="0" w:color="BFD8CD"/>
              <w:left w:val="single" w:sz="8" w:space="0" w:color="BFD8CD"/>
              <w:bottom w:val="single" w:sz="8" w:space="0" w:color="BFD8CD"/>
              <w:right w:val="single" w:sz="8" w:space="0" w:color="BFD8CD"/>
            </w:tcBorders>
          </w:tcPr>
          <w:p>
            <w:r>
              <w:rPr>
                <w:b/>
                <w:color w:val="2E7D5C"/>
                <w:sz w:val="20"/>
              </w:rPr>
              <w:t>Dossier-Regel</w:t>
            </w:r>
          </w:p>
          <w:p>
            <w:pPr>
              <w:spacing w:before="40"/>
            </w:pPr>
            <w:r>
              <w:rPr>
                <w:sz w:val="19"/>
              </w:rPr>
              <w:t>Jede Beispielrechnung unterscheidet zwischen echten Datenquellen, plausiblen Annahmen und politisch festzulegenden Parametern. Wirkung wird nicht personenbezogen gescored; bewertet werden Tätigkeitsfelder, Organisationen, Projekte, Maschinenwertschöpfung, Fondsflüsse und Systemwirkungen.</w:t>
            </w:r>
          </w:p>
        </w:tc>
      </w:tr>
    </w:tbl>
    <w:p>
      <w:pPr>
        <w:pStyle w:val="Heading1"/>
      </w:pPr>
      <w:r>
        <w:t>1. 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Datenbereich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Mögliche Quellen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Verwendung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Erwerbstätigkeit und sozialversicherungspflichtige Beschäftigung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Destatis, Bundesagentur für Arbeit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Ausgangsbasis für Lohnsummen, Beschäftigungsstruktur und Beitragsabhängigkeit.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Automatisierungspotenzial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IAB Job-Futuromat, IAB-Szenarien, OECD, ILO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Berufs- und Tätigkeitsrisiken; nicht als deterministische Jobverlustprognose.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Unternehmensdaten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CSRD/ESRS, Jahresabschluss, Personal- und Investitionsdaten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Brücke zu Rang 4 Unternehmen und Impact Controlling.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Maschinen-/Softwareinvestitionen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Anlagenbuchhaltung, IT-Investitionen, Robotik-/KI-Ausgaben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Indikator für Maschinenleistung und Produktivitätsgewinn.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Produkt- und Lieferkettenwirkung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WÖk-IDs, Scorecards, WUStG-Leitlinien, digitale Produktpässe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Verknüpfung mit Produktwirkung und Fondsflüssen.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Sozial- und Gemeinwesenwirkung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Kommunale Daten, Bildungs-, Pflege-, Gesundheits- und Ehrenamtsdaten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Grundlage für Wirkungsboni und kommunale Wirkungsfonds.</w:t>
            </w:r>
          </w:p>
        </w:tc>
      </w:tr>
    </w:tbl>
    <w:p>
      <w:pPr>
        <w:pStyle w:val="Heading1"/>
      </w:pPr>
      <w:r>
        <w:t>2. Beispielrechnung: Beitragslücke bei Automatisierung</w:t>
      </w:r>
    </w:p>
    <w:p>
      <w:r>
        <w:t>Modellannahme: Ein Unternehmen ersetzt 100 Vollzeitstellen mit durchschnittlichen Bruttoarbeitskosten von 60.000 EUR p.a. durch automatisierte Systeme. Davon waren 45.000 EUR Bruttolohn und 15.000 EUR Arbeitgeberanteile/sonstige Lohnnebenkosten. Die Wertschöpfung bleibt gleich oder steigt.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Position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Rechnung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Modellwert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wegfallende Lohnsumme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100 x 45.000 EUR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4.500.000 EUR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wegfallender Arbeitgeber-Sozialbeitragsanteil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100 x 15.000 EUR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1.500.000 EUR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Produktivitätsgewinn durch Automatisierung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angenommen +20 % auf Outputmarge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1.200.000 EUR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klassische Systemwirkung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Beitragsbasis sinkt, Kapitalrendite steigt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negative Finanzierungsrückkopplung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WÖk-Rückkopplung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Maschinenwertschöpfungsbeitrag + Wirkungsfondsanteil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politisch festzulegen</w:t>
            </w:r>
          </w:p>
        </w:tc>
      </w:tr>
    </w:tbl>
    <w:p>
      <w:r>
        <w:t>Wirkungsökonomisch wäre nicht der Roboter selbst steuerpflichtig, sondern die aus Automatisierung resultierende Wertschöpfungsverschiebung. Je höher die positive Netto-Wirkung des Unternehmens - Weiterbildung, Arbeitszeitverkürzung, faire Verteilung, niedrigere Produktpreise, ökologische Verbesserung -, desto niedriger der Malus und desto höher der Zugang zu Transformationsboni.</w:t>
      </w:r>
    </w:p>
    <w:p>
      <w:pPr>
        <w:pStyle w:val="Heading1"/>
      </w:pPr>
      <w:r>
        <w:t>3. Formelvorschlag: Maschinenwertschöpfungsbeitrag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4EF"/>
            <w:tcBorders>
              <w:top w:val="single" w:sz="8" w:space="0" w:color="BFD8CD"/>
              <w:left w:val="single" w:sz="8" w:space="0" w:color="BFD8CD"/>
              <w:bottom w:val="single" w:sz="8" w:space="0" w:color="BFD8CD"/>
              <w:right w:val="single" w:sz="8" w:space="0" w:color="BFD8CD"/>
            </w:tcBorders>
          </w:tcPr>
          <w:p>
            <w:r>
              <w:rPr>
                <w:b/>
                <w:color w:val="2E7D5C"/>
                <w:sz w:val="20"/>
              </w:rPr>
              <w:t>Arbeitsformel v0.1</w:t>
            </w:r>
          </w:p>
          <w:p>
            <w:pPr>
              <w:spacing w:before="40"/>
            </w:pPr>
            <w:r>
              <w:rPr>
                <w:sz w:val="19"/>
              </w:rPr>
              <w:t>MWB = (Automatisierte Wertschöpfung x Rückkopplungsquote) x Wirkungsfaktor. Der Wirkungsfaktor reduziert Beiträge bei positiver Netto-Wirkung und erhöht sie bei sozialer, ökologischer oder demokratischer Negativwirkung. Die Formel ist eine Diskussionsgrundlage, kein Rechtsvorschlag.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Parameter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Beschreibung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Datenquelle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Automatisierte Wertschöpfung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Anteil der Wertschöpfung, der durch KI, Robotik, Software oder autonome Systeme entsteht.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Controlling, Anlagenbuchhaltung, Prozessdaten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Rückkopplungsquote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Politisch festgelegter Anteil, der in Wirkungsfonds fließt.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Gesetz / Pilotmodell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Wirkungsfaktor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Score von -3 bis +3 oder normierte 0-1-Skala aus Unternehmens-, Arbeits- und Gemeinwesenwirkung.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Scorecard / WÖk-IDs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KMU-Schutzfaktor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Schutz vor Überlastung kleiner Unternehmen, Übergangsfristen, Bagatellgrenzen.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Gesetz / Förderlogik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Transformationsbonus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Gutschrift für Weiterbildung, Arbeitsplatzqualität, Arbeitszeitverkürzung, neue Tätigkeiten.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Nachweis / Assurance</w:t>
            </w:r>
          </w:p>
        </w:tc>
      </w:tr>
    </w:tbl>
    <w:p>
      <w:pPr>
        <w:pStyle w:val="Heading1"/>
      </w:pPr>
      <w:r>
        <w:t>4. Wirkungseinkommen: Beispielhafte Einkommensarchitektur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Baustein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Beispielhafte Funktion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Bemessung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Grunddividende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Stabilisiert Existenz und Nachfrage.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Pro Kopf aus Wirkungsfonds; Höhe politisch festzulegen.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Markteinkommen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Lohn, Honorar, Unternehmenseinkommen, Rendite.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Bleibt erhalten, aber Wirkungskontext wird steuerlich relevant.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Wirkungsbonus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Care, Bildung, Prävention, Engagement, Innovation.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Projekt-/Tätigkeitsnachweis oder institutionelle Wirkungsräume.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Transformationsbonus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Weiterbildung, Umschulung, Arbeitszeitverkürzung.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Individuell oder kollektiv, nicht als Zwangssystem.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Wirkungsmalus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destruktive Einkommen oder Kapitalflüsse.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Über WEstG, WKStG, WUStG, Vermögens-/Kapitalwirkung.</w:t>
            </w:r>
          </w:p>
        </w:tc>
      </w:tr>
    </w:tbl>
    <w:p>
      <w:pPr>
        <w:pStyle w:val="Heading1"/>
      </w:pPr>
      <w:r>
        <w:t>5. Automatisierung in Unternehmen: vier Szenarien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Szenario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Beschreibung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WÖk-Einordnung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A: Entlastende Automatisierung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Gefährliche, monotone oder gesundheitsschädliche Arbeit wird ersetzt.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positiv, wenn Menschen abgesichert, weitergebildet und Produktivitätsgewinne geteilt werden.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B: Verdrängende Automatisierung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Menschen werden ersetzt, Kosten sinken, Eigentümer:innen profitieren.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kritisch, wenn Beitragsbasis und Teilhabe sinken.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C: Transformative Automatisierung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Produktqualität, Ressourcenverbrauch und Arbeitsbedingungen verbessern sich.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positiv, wenn Rückkopplung nachweisbar ist.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D: Extraktive Plattformautomatisierung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Daten, Aufmerksamkeit und Arbeit werden ausgebeutet; Gewinne konzentrieren sich.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negativ, wenn Demokratie, Arbeitsrechte und soziale Sicherung geschwächt werden.</w:t>
            </w:r>
          </w:p>
        </w:tc>
      </w:tr>
    </w:tbl>
    <w:p>
      <w:pPr>
        <w:pStyle w:val="Heading1"/>
      </w:pPr>
      <w:r>
        <w:t>6. Tool: Automatisierungs- und Wirkungseinkommensrechner</w:t>
      </w:r>
    </w:p>
    <w:p>
      <w:r>
        <w:t>Der Rechner ist als Modell-Demo angelegt. Er berechnet keine echte Steuerpflicht, sondern zeigt den Systembruch der alten Abgabenlogik und die mögliche Wirkungsrückkopplung.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blHeader w:val="true"/>
        </w:trP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Input</w:t>
            </w:r>
          </w:p>
        </w:tc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Output</w:t>
            </w:r>
          </w:p>
        </w:tc>
      </w:tr>
      <w:tr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Anzahl ersetzter FTE, Lohnsumme, Sozialabgabenanteil</w:t>
            </w:r>
          </w:p>
        </w:tc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klassische Beitragslücke</w:t>
            </w:r>
          </w:p>
        </w:tc>
      </w:tr>
      <w:tr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Automatisierte Wertschöpfung, Produktivitätsgewinn</w:t>
            </w:r>
          </w:p>
        </w:tc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potenzieller Automatisierungsüberschuss</w:t>
            </w:r>
          </w:p>
        </w:tc>
      </w:tr>
      <w:tr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Wirkungs-Score des Unternehmens</w:t>
            </w:r>
          </w:p>
        </w:tc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Wirkungsfaktor für Beitrag oder Bonus</w:t>
            </w:r>
          </w:p>
        </w:tc>
      </w:tr>
      <w:tr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Weiterbildungs- und Teilhabequote</w:t>
            </w:r>
          </w:p>
        </w:tc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Transformationsbonus</w:t>
            </w:r>
          </w:p>
        </w:tc>
      </w:tr>
      <w:tr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Kommune/Region/Sektor</w:t>
            </w:r>
          </w:p>
        </w:tc>
        <w:tc>
          <w:tcPr>
            <w:tcW w:type="dxa" w:w="5112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regionale Wirkung und Fondsbedarf</w:t>
            </w:r>
          </w:p>
        </w:tc>
      </w:tr>
    </w:tbl>
    <w:p>
      <w:pPr>
        <w:pStyle w:val="Heading1"/>
      </w:pPr>
      <w:r>
        <w:t>7. Politische Optionen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Option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Wirkung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5"/>
              </w:rPr>
              <w:t>Politischer Spielraum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Pilotfonds Automatisierungsdividende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kleiner Einstieg ohne Systembruch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freiwillig, branchenbezogen, kommunal oder national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teilweise Sozialabgaben-Entkopplung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menschliche Arbeit wird entlastet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Stufenmodell, zuerst Arbeitgeberanteil oder neue Abgabenbasis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WEstG-Testmodell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Einkommen nach Wirkungskontext differenzieren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Steuerbonus/-malus oder Gutschrift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Transformationskonten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Weiterbildung und Übergänge finanzieren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individuell, betrieblich oder kommunal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5"/>
              </w:rPr>
              <w:t>Wirkungsdividende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Grundsicherung ohne Arbeitszwang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5"/>
              </w:rPr>
              <w:t>Höhe, Zugang und Finanzierung politisch offen</w:t>
            </w:r>
          </w:p>
        </w:tc>
      </w:tr>
    </w:tbl>
    <w:p>
      <w:pPr>
        <w:pStyle w:val="Heading1"/>
      </w:pPr>
      <w:r>
        <w:t>8. Quellen und Verlinkungen</w:t>
      </w:r>
    </w:p>
    <w:p>
      <w:r>
        <w:t>Interne WÖk-Dokumente</w:t>
      </w:r>
    </w:p>
    <w:p>
      <w:pPr>
        <w:pStyle w:val="ListBullet"/>
        <w:spacing w:after="40"/>
      </w:pPr>
      <w:r>
        <w:t>Natalie Weber: Wenn Maschinen arbeiten. Warum wir ein neues System brauchen, 2025.</w:t>
      </w:r>
    </w:p>
    <w:p>
      <w:pPr>
        <w:pStyle w:val="ListBullet"/>
        <w:spacing w:after="40"/>
      </w:pPr>
      <w:r>
        <w:t>Natalie Weber: Die neue Ordnung des Wohlstands, 2026, insbesondere Kapitel 15, 56, 57 und die Teile zu Wirkungseinkommen, Wirkungsfonds und Wirkungslenkung.</w:t>
      </w:r>
    </w:p>
    <w:p>
      <w:pPr>
        <w:pStyle w:val="ListBullet"/>
        <w:spacing w:after="40"/>
      </w:pPr>
      <w:r>
        <w:t>Natalie Weber: Arbeitspapier Wirkungseinkommensteuer (WEstG), 2025.</w:t>
      </w:r>
    </w:p>
    <w:p>
      <w:pPr>
        <w:pStyle w:val="ListBullet"/>
        <w:spacing w:after="40"/>
      </w:pPr>
      <w:r>
        <w:t>Natalie Weber: Working-Paper Rentensystem / Wirkungsrente, 2025.</w:t>
      </w:r>
    </w:p>
    <w:p>
      <w:pPr>
        <w:pStyle w:val="ListBullet"/>
        <w:spacing w:after="40"/>
      </w:pPr>
      <w:r>
        <w:t>Natalie Weber: Systemmodell der Wirkungsökonomie, 2025.</w:t>
      </w:r>
    </w:p>
    <w:p>
      <w:pPr>
        <w:pStyle w:val="ListBullet"/>
        <w:spacing w:after="40"/>
      </w:pPr>
      <w:r>
        <w:t>Natalie Weber: WStG Oktober 2025 und Technische Leitlinien WUStG, 2025.</w:t>
      </w:r>
    </w:p>
    <w:p>
      <w:pPr>
        <w:pStyle w:val="ListBullet"/>
        <w:spacing w:after="40"/>
      </w:pPr>
      <w:r>
        <w:t>Natalie Weber: Führender Begriffsleitfaden der Wirkungsökonomie, 2026.</w:t>
      </w:r>
    </w:p>
    <w:p>
      <w:r>
        <w:t>Externe Referenzen</w:t>
      </w:r>
    </w:p>
    <w:p>
      <w:pPr>
        <w:pStyle w:val="ListBullet"/>
        <w:spacing w:after="40"/>
      </w:pPr>
      <w:r>
        <w:t>OECD: AI and work / Future of work, laufende Themenseiten und Analysen.</w:t>
      </w:r>
    </w:p>
    <w:p>
      <w:pPr>
        <w:pStyle w:val="ListBullet"/>
        <w:spacing w:after="40"/>
      </w:pPr>
      <w:r>
        <w:t>ILO: Generative AI and Jobs, Working Paper 96 (2023) und Refined Global Index of Occupational Exposure (2025).</w:t>
      </w:r>
    </w:p>
    <w:p>
      <w:pPr>
        <w:pStyle w:val="ListBullet"/>
        <w:spacing w:after="40"/>
      </w:pPr>
      <w:r>
        <w:t>Europäische Kommission: AI Act, Inkrafttreten 1. August 2024 und Anwendung nach Zeitplan mit Ausnahmen.</w:t>
      </w:r>
    </w:p>
    <w:p>
      <w:pPr>
        <w:pStyle w:val="ListBullet"/>
        <w:spacing w:after="40"/>
      </w:pPr>
      <w:r>
        <w:t>EU: Platform Work Directive (EU) 2024/2831; algorithmisches Management, Transparenz und menschliche Aufsicht.</w:t>
      </w:r>
    </w:p>
    <w:p>
      <w:pPr>
        <w:pStyle w:val="ListBullet"/>
        <w:spacing w:after="40"/>
      </w:pPr>
      <w:r>
        <w:t>Destatis: Arbeitsmarkt, Erwerbstätigkeit und sozialversicherungspflichtige Beschäftigung in Deutschland.</w:t>
      </w:r>
    </w:p>
    <w:p>
      <w:pPr>
        <w:pStyle w:val="ListBullet"/>
        <w:spacing w:after="40"/>
      </w:pPr>
      <w:r>
        <w:t>IAB: Job-Futuromat und Szenarioanalysen zu KI, Digitalisierung und Substituierbarkeitspotenzialen.</w:t>
      </w:r>
    </w:p>
    <w:p>
      <w:pPr>
        <w:pStyle w:val="ListBullet"/>
        <w:spacing w:after="40"/>
      </w:pPr>
      <w:r>
        <w:t>Bundesagentur für Arbeit / BERUFENET: Digitalisierung und Ersetzbarkeit von Tätigkeiten.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Meta"/>
      <w:jc w:val="center"/>
    </w:pPr>
    <w:r>
      <w:t>© 2026 Natalie Weber · Wirkungsökonomie · v0.1 · Dossier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Meta"/>
      <w:jc w:val="right"/>
    </w:pPr>
    <w:r>
      <w:t>WIRKUNGSÖKONOMIE  |  Arbeit &amp; Einkommen / Automatisierung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Source Sans 3" w:hAnsi="Source Sans 3" w:eastAsia="Source Sans 3"/>
      <w:color w:val="2E2E2E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color w:val="0B1D33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color w:val="0B1D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Theme="majorHAnsi" w:eastAsiaTheme="majorEastAsia" w:hAnsiTheme="majorHAnsi" w:cstheme="majorBidi" w:ascii="Source Sans 3" w:hAnsi="Source Sans 3" w:eastAsia="Source Sans 3"/>
      <w:b/>
      <w:bCs/>
      <w:color w:val="2E7D5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160"/>
      <w:contextualSpacing/>
    </w:pPr>
    <w:rPr>
      <w:rFonts w:asciiTheme="majorHAnsi" w:eastAsiaTheme="majorEastAsia" w:hAnsiTheme="majorHAnsi" w:cstheme="majorBidi" w:ascii="Georgia" w:hAnsi="Georgia" w:eastAsia="Georgia"/>
      <w:b/>
      <w:color w:val="0B1D33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ta">
    <w:name w:val="Meta"/>
    <w:pPr>
      <w:spacing w:after="40"/>
    </w:pPr>
    <w:rPr>
      <w:rFonts w:ascii="Source Sans 3" w:hAnsi="Source Sans 3"/>
      <w:b/>
      <w:color w:val="2E7D5C"/>
      <w:sz w:val="17"/>
    </w:rPr>
  </w:style>
  <w:style w:type="paragraph" w:customStyle="1" w:styleId="PullQuote">
    <w:name w:val="PullQuote"/>
    <w:pPr>
      <w:spacing w:before="160" w:after="160"/>
      <w:ind w:left="288" w:right="288"/>
    </w:pPr>
    <w:rPr>
      <w:rFonts w:ascii="Georgia" w:hAnsi="Georgia"/>
      <w:i/>
      <w:color w:val="0B1D33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