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Meta"/>
        <w:jc w:val="left"/>
      </w:pPr>
      <w:r>
        <w:t>WIRKUNGSÖKONOMIE</w:t>
      </w:r>
    </w:p>
    <w:p>
      <w:pPr>
        <w:pStyle w:val="Title"/>
      </w:pPr>
      <w:r>
        <w:t>Arbeit &amp; Einkommen / Automatisierung</w:t>
      </w:r>
    </w:p>
    <w:p>
      <w:pPr>
        <w:pStyle w:val="Heading2"/>
      </w:pPr>
      <w:r>
        <w:t>Ein wirkungsökonomisches Konzept für Arbeit, Einkommen, Sozialabgaben, Wirkungseinkommen und Maschinenleistung</w:t>
      </w:r>
    </w:p>
    <w:p>
      <w:pPr>
        <w:pStyle w:val="PullQuote"/>
      </w:pPr>
      <w:r>
        <w:t>Wirkung statt Kapital. Für Mensch, Planet und Demokratie.</w:t>
      </w:r>
    </w:p>
    <w:tbl>
      <w:tblPr>
        <w:tblW w:type="auto" w:w="0"/>
        <w:jc w:val="left"/>
        <w:tblLayout w:type="autofit"/>
        <w:tblLook w:firstColumn="1" w:firstRow="1" w:lastColumn="0" w:lastRow="0" w:noHBand="0" w:noVBand="1" w:val="04A0"/>
      </w:tblPr>
      <w:tblGrid>
        <w:gridCol w:w="5112"/>
        <w:gridCol w:w="5112"/>
      </w:tblGrid>
      <w:tr>
        <w:tc>
          <w:tcPr>
            <w:tcW w:type="dxa" w:w="5112"/>
            <w:shd w:fill="FBF4E4"/>
            <w:tcBorders>
              <w:top w:val="single" w:sz="8" w:space="0" w:color="D8D3C8"/>
              <w:left w:val="single" w:sz="8" w:space="0" w:color="D8D3C8"/>
              <w:bottom w:val="single" w:sz="8" w:space="0" w:color="D8D3C8"/>
              <w:right w:val="single" w:sz="8" w:space="0" w:color="D8D3C8"/>
            </w:tcBorders>
            <w:vAlign w:val="center"/>
          </w:tcPr>
          <w:p>
            <w:r>
              <w:rPr>
                <w:sz w:val="17"/>
              </w:rPr>
              <w:t>Autorin</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Natalie Weber</w:t>
            </w:r>
          </w:p>
        </w:tc>
      </w:tr>
      <w:tr>
        <w:tc>
          <w:tcPr>
            <w:tcW w:type="dxa" w:w="5112"/>
            <w:shd w:fill="F6F1E8"/>
            <w:tcBorders>
              <w:top w:val="single" w:sz="8" w:space="0" w:color="D8D3C8"/>
              <w:left w:val="single" w:sz="8" w:space="0" w:color="D8D3C8"/>
              <w:bottom w:val="single" w:sz="8" w:space="0" w:color="D8D3C8"/>
              <w:right w:val="single" w:sz="8" w:space="0" w:color="D8D3C8"/>
            </w:tcBorders>
            <w:vAlign w:val="center"/>
          </w:tcPr>
          <w:p>
            <w:r>
              <w:rPr>
                <w:sz w:val="17"/>
              </w:rPr>
              <w:t>Referenz</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Wirkungsökonomie</w:t>
            </w:r>
          </w:p>
        </w:tc>
      </w:tr>
      <w:tr>
        <w:tc>
          <w:tcPr>
            <w:tcW w:type="dxa" w:w="5112"/>
            <w:shd w:fill="FBF4E4"/>
            <w:tcBorders>
              <w:top w:val="single" w:sz="8" w:space="0" w:color="D8D3C8"/>
              <w:left w:val="single" w:sz="8" w:space="0" w:color="D8D3C8"/>
              <w:bottom w:val="single" w:sz="8" w:space="0" w:color="D8D3C8"/>
              <w:right w:val="single" w:sz="8" w:space="0" w:color="D8D3C8"/>
            </w:tcBorders>
            <w:vAlign w:val="center"/>
          </w:tcPr>
          <w:p>
            <w:r>
              <w:rPr>
                <w:sz w:val="17"/>
              </w:rPr>
              <w:t>Stand</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24. Mai 2026</w:t>
            </w:r>
          </w:p>
        </w:tc>
      </w:tr>
      <w:tr>
        <w:tc>
          <w:tcPr>
            <w:tcW w:type="dxa" w:w="5112"/>
            <w:shd w:fill="F6F1E8"/>
            <w:tcBorders>
              <w:top w:val="single" w:sz="8" w:space="0" w:color="D8D3C8"/>
              <w:left w:val="single" w:sz="8" w:space="0" w:color="D8D3C8"/>
              <w:bottom w:val="single" w:sz="8" w:space="0" w:color="D8D3C8"/>
              <w:right w:val="single" w:sz="8" w:space="0" w:color="D8D3C8"/>
            </w:tcBorders>
            <w:vAlign w:val="center"/>
          </w:tcPr>
          <w:p>
            <w:r>
              <w:rPr>
                <w:sz w:val="17"/>
              </w:rPr>
              <w:t>Version</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v0.1</w:t>
            </w:r>
          </w:p>
        </w:tc>
      </w:tr>
      <w:tr>
        <w:tc>
          <w:tcPr>
            <w:tcW w:type="dxa" w:w="5112"/>
            <w:shd w:fill="FBF4E4"/>
            <w:tcBorders>
              <w:top w:val="single" w:sz="8" w:space="0" w:color="D8D3C8"/>
              <w:left w:val="single" w:sz="8" w:space="0" w:color="D8D3C8"/>
              <w:bottom w:val="single" w:sz="8" w:space="0" w:color="D8D3C8"/>
              <w:right w:val="single" w:sz="8" w:space="0" w:color="D8D3C8"/>
            </w:tcBorders>
            <w:vAlign w:val="center"/>
          </w:tcPr>
          <w:p>
            <w:r>
              <w:rPr>
                <w:sz w:val="17"/>
              </w:rPr>
              <w:t>Status</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Konzeptfassung / Diskussionsfassung</w:t>
            </w:r>
          </w:p>
        </w:tc>
      </w:tr>
      <w:tr>
        <w:tc>
          <w:tcPr>
            <w:tcW w:type="dxa" w:w="5112"/>
            <w:shd w:fill="F6F1E8"/>
            <w:tcBorders>
              <w:top w:val="single" w:sz="8" w:space="0" w:color="D8D3C8"/>
              <w:left w:val="single" w:sz="8" w:space="0" w:color="D8D3C8"/>
              <w:bottom w:val="single" w:sz="8" w:space="0" w:color="D8D3C8"/>
              <w:right w:val="single" w:sz="8" w:space="0" w:color="D8D3C8"/>
            </w:tcBorders>
            <w:vAlign w:val="center"/>
          </w:tcPr>
          <w:p>
            <w:r>
              <w:rPr>
                <w:sz w:val="17"/>
              </w:rPr>
              <w:t>Öffentlichkeit</w:t>
            </w:r>
          </w:p>
        </w:tc>
        <w:tc>
          <w:tcPr>
            <w:tcW w:type="dxa" w:w="5112"/>
            <w:shd w:fill="FFFFFF"/>
            <w:tcBorders>
              <w:top w:val="single" w:sz="8" w:space="0" w:color="D8D3C8"/>
              <w:left w:val="single" w:sz="8" w:space="0" w:color="D8D3C8"/>
              <w:bottom w:val="single" w:sz="8" w:space="0" w:color="D8D3C8"/>
              <w:right w:val="single" w:sz="8" w:space="0" w:color="D8D3C8"/>
            </w:tcBorders>
            <w:vAlign w:val="center"/>
          </w:tcPr>
          <w:p>
            <w:r>
              <w:rPr>
                <w:sz w:val="17"/>
              </w:rPr>
              <w:t>Öffentliche Arbeitsfassung. Keine internen CodeX- oder Repository-Anweisungen enthalten.</w:t>
            </w:r>
          </w:p>
        </w:tc>
      </w:tr>
    </w:tbl>
    <w:p>
      <w:pPr/>
      <w:r>
        <w:t>Hinweis: Dieses Dokument beschreibt ein wirkungsökonomisches Konzept. Es ist keine Rechts-, Steuer-, Anlage- oder Sozialberatung. Rechenmodelle sind als Arbeitsannahmen gekennzeichnet.</w:t>
      </w:r>
    </w:p>
    <w:p>
      <w:r>
        <w:br w:type="page"/>
      </w:r>
    </w:p>
    <w:p>
      <w:pPr>
        <w:pStyle w:val="Heading1"/>
      </w:pPr>
      <w:r>
        <w:t>Executive Summary</w:t>
      </w:r>
    </w:p>
    <w:p>
      <w:r>
        <w:t>Der Bereich Arbeit &amp; Einkommen / Automatisierung beschreibt eine der zentralen Systembrüche der Gegenwart: Die alte Ordnung koppelt Einkommen, soziale Sicherung, Renten und staatliche Finanzierung an menschliche Erwerbsarbeit. KI, Robotik, Plattformen und Automatisierung verschieben jedoch Wertschöpfung zunehmend in Maschinenleistung, Datenmacht, Kapitalbesitz und algorithmische Systeme. Damit wird die Kette Arbeit - Einkommen - Steuern und Sozialabgaben - soziale Sicherung brüchig.</w:t>
      </w:r>
    </w:p>
    <w:tbl>
      <w:tblPr>
        <w:tblW w:type="auto" w:w="0"/>
        <w:jc w:val="center"/>
        <w:tblLook w:firstColumn="1" w:firstRow="1" w:lastColumn="0" w:lastRow="0" w:noHBand="0" w:noVBand="1" w:val="04A0"/>
      </w:tblPr>
      <w:tblGrid>
        <w:gridCol w:w="10224"/>
      </w:tblGrid>
      <w:tr>
        <w:tc>
          <w:tcPr>
            <w:tcW w:type="dxa" w:w="10224"/>
            <w:shd w:fill="EAF4EF"/>
            <w:tcBorders>
              <w:top w:val="single" w:sz="8" w:space="0" w:color="BFD8CD"/>
              <w:left w:val="single" w:sz="8" w:space="0" w:color="BFD8CD"/>
              <w:bottom w:val="single" w:sz="8" w:space="0" w:color="BFD8CD"/>
              <w:right w:val="single" w:sz="8" w:space="0" w:color="BFD8CD"/>
            </w:tcBorders>
          </w:tcPr>
          <w:p>
            <w:r>
              <w:rPr>
                <w:b/>
                <w:color w:val="2E7D5C"/>
                <w:sz w:val="20"/>
              </w:rPr>
              <w:t>Kernthese</w:t>
            </w:r>
          </w:p>
          <w:p>
            <w:pPr>
              <w:spacing w:before="40"/>
            </w:pPr>
            <w:r>
              <w:rPr>
                <w:sz w:val="19"/>
              </w:rPr>
              <w:t>Nicht die Maschine ist das Problem. Das Problem ist eine Sozial- und Steuerordnung, die menschliche Erwerbsarbeit als nahezu alleinige Finanzierungs- und Würdequelle behandelt. Die Wirkungsökonomie trennt Erwerbsarbeit, Maschinenleistung und Wirkleistung und koppelt Einkommen, Sozialabgaben und Fondslogik an positive Netto-Wirkung für Mensch, Planet und Demokratie.</w:t>
            </w:r>
          </w:p>
        </w:tc>
      </w:tr>
    </w:tbl>
    <w:p>
      <w:r>
        <w:t>Das Konzept unterscheidet fünf Ebenen: erstens Erwerbsarbeit als marktliche Tätigkeit; zweitens Maschinenleistung als produktive Leistung ohne menschliche Arbeitszeit; drittens Wirkleistung als reale positive Zustandsveränderung; viertens Wirkungseinkommen als Verbindung von Grundsicherheit, Markt und Wirkungsbeitrag; fünftens Wirkungsfonds als Rückkopplungsarchitektur, in die negative Wirkung, Automatisierungsüberschüsse und Wirkungssteuern einfließen.</w:t>
      </w:r>
    </w:p>
    <w:p>
      <w:pPr>
        <w:pStyle w:val="Heading1"/>
      </w:pPr>
      <w:r>
        <w:t>1. Warum dieser Bereich jetzt notwendig ist</w:t>
      </w:r>
    </w:p>
    <w:p>
      <w:r>
        <w:t>Die alte Arbeitsordnung entstand in einer Industriegesellschaft, in der menschliche Arbeit der Engpass der Produktion war. Lohnarbeit war deshalb nicht nur Einkommensquelle, sondern Grundlage von Sozialversicherung, Renten, Status, Identität und politischer Teilhabe. Diese Kopplung wird fragil, wenn Wertschöpfung zunehmend durch Maschinen, Software, Plattformen, Daten und Kapitalstrukturen erzeugt wird.</w:t>
      </w:r>
    </w:p>
    <w:p>
      <w:r>
        <w:t>Die Wirkungsökonomie beantwortet Automatisierung nicht mit Maschinenfeindschaft. Automatisierung kann gefährliche Arbeit reduzieren, Produktivität erhöhen, Pflege entlasten, Ressourcen sparen und neue Wirkleistungen ermöglichen. Sie erzeugt aber Verteilungs-, Finanzierungs- und Legitimitätsrisiken, wenn Produktivitätsgewinne privatisiert werden, während die gesellschaftliche Finanzierung weiter auf menschlicher Lohnarbeit ruht.</w:t>
      </w:r>
    </w:p>
    <w:p>
      <w:pPr>
        <w:pStyle w:val="Heading1"/>
      </w:pPr>
      <w:r>
        <w:t>2. Alte Logik: Arbeit als Steuer- und Würdeanker</w:t>
      </w:r>
    </w:p>
    <w:tbl>
      <w:tblPr>
        <w:tblW w:type="auto" w:w="0"/>
        <w:jc w:val="center"/>
        <w:tblLayout w:type="autofit"/>
        <w:tblLook w:firstColumn="1" w:firstRow="1" w:lastColumn="0" w:lastRow="0" w:noHBand="0" w:noVBand="1" w:val="04A0"/>
      </w:tblPr>
      <w:tblGrid>
        <w:gridCol w:w="5112"/>
        <w:gridCol w:w="5112"/>
      </w:tblGrid>
      <w:tr>
        <w:trPr>
          <w:tblHeader w:val="true"/>
        </w:trPr>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6"/>
              </w:rPr>
              <w:t>Alte Kopplung</w:t>
            </w:r>
          </w:p>
        </w:tc>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6"/>
              </w:rPr>
              <w:t>Wirkungsökonomisches Problem</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Arbeit -&gt; Einkommen</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Erwerbsarbeit wird mit Leistung verwechselt; Care, Bildung, Engagement und Systempflege bleiben unterbewertet.</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Einkommen -&gt; Steuern</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Steuerfähigkeit hängt an monetärer Marktvergütung, nicht an Wirkung oder gesamtwirtschaftlichem Beitrag.</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Lohnsumme -&gt; Sozialabgaben</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Sozialversicherung belastet menschliche Arbeit, während Maschinenleistung und Plattformrenditen weniger direkt beitragen.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Beschäftigung -&gt; Würde</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Menschen verlieren Status und Selbstwirksamkeit, wenn ihre Tätigkeit nicht marktfähig bleibt, obwohl sie weiterhin wirken können.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Wachstum -&gt; Finanzierung</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Produktivität kann steigen, ohne dass Steuer- und Beitragsbasis proportional mitwachsen.</w:t>
            </w:r>
          </w:p>
        </w:tc>
      </w:tr>
    </w:tbl>
    <w:p>
      <w:pPr>
        <w:pStyle w:val="Heading1"/>
      </w:pPr>
      <w:r>
        <w:t>3. Neue Logik: Erwerbsarbeit, Maschinenleistung und Wirkleistung trennen</w:t>
      </w:r>
    </w:p>
    <w:p>
      <w:r>
        <w:t>Die Wirkungökonomie ordnet Leistung dreifach: Erwerbsarbeit ist eine bezahlte Tätigkeit; Maschinenleistung ist produktive Leistung durch Technik; Wirkleistung ist reale positive Zustandsveränderung. Nur die dritte Kategorie ist normativ maßgeblich. Erwerbsarbeit kann hohe Wirkleistung erzeugen, muss es aber nicht. Maschinenleistung kann produktiv sein, muss aber gesellschaftlich rückgekoppelt werden. Unbezahlte Tätigkeiten können hohe Wirkung erzeugen, obwohl sie im alten System finanziell unsichtbar bleiben.</w:t>
      </w:r>
    </w:p>
    <w:tbl>
      <w:tblPr>
        <w:tblW w:type="auto" w:w="0"/>
        <w:jc w:val="center"/>
        <w:tblLayout w:type="autofit"/>
        <w:tblLook w:firstColumn="1" w:firstRow="1" w:lastColumn="0" w:lastRow="0" w:noHBand="0" w:noVBand="1" w:val="04A0"/>
      </w:tblPr>
      <w:tblGrid>
        <w:gridCol w:w="3408"/>
        <w:gridCol w:w="3408"/>
        <w:gridCol w:w="3408"/>
      </w:tblGrid>
      <w:tr>
        <w:trPr>
          <w:tblHeader w:val="true"/>
        </w:trPr>
        <w:tc>
          <w:tcPr>
            <w:tcW w:type="dxa" w:w="3408"/>
            <w:shd w:fill="F6F1E8"/>
            <w:tcBorders>
              <w:top w:val="single" w:sz="8" w:space="0" w:color="D8D3C8"/>
              <w:left w:val="single" w:sz="8" w:space="0" w:color="D8D3C8"/>
              <w:bottom w:val="single" w:sz="8" w:space="0" w:color="D8D3C8"/>
              <w:right w:val="single" w:sz="8" w:space="0" w:color="D8D3C8"/>
            </w:tcBorders>
          </w:tcPr>
          <w:p>
            <w:r>
              <w:rPr>
                <w:b/>
                <w:color w:val="0B1D33"/>
                <w:sz w:val="15"/>
              </w:rPr>
              <w:t>Leistungsform</w:t>
            </w:r>
          </w:p>
        </w:tc>
        <w:tc>
          <w:tcPr>
            <w:tcW w:type="dxa" w:w="3408"/>
            <w:shd w:fill="F6F1E8"/>
            <w:tcBorders>
              <w:top w:val="single" w:sz="8" w:space="0" w:color="D8D3C8"/>
              <w:left w:val="single" w:sz="8" w:space="0" w:color="D8D3C8"/>
              <w:bottom w:val="single" w:sz="8" w:space="0" w:color="D8D3C8"/>
              <w:right w:val="single" w:sz="8" w:space="0" w:color="D8D3C8"/>
            </w:tcBorders>
          </w:tcPr>
          <w:p>
            <w:r>
              <w:rPr>
                <w:b/>
                <w:color w:val="0B1D33"/>
                <w:sz w:val="15"/>
              </w:rPr>
              <w:t>Definition</w:t>
            </w:r>
          </w:p>
        </w:tc>
        <w:tc>
          <w:tcPr>
            <w:tcW w:type="dxa" w:w="3408"/>
            <w:shd w:fill="F6F1E8"/>
            <w:tcBorders>
              <w:top w:val="single" w:sz="8" w:space="0" w:color="D8D3C8"/>
              <w:left w:val="single" w:sz="8" w:space="0" w:color="D8D3C8"/>
              <w:bottom w:val="single" w:sz="8" w:space="0" w:color="D8D3C8"/>
              <w:right w:val="single" w:sz="8" w:space="0" w:color="D8D3C8"/>
            </w:tcBorders>
          </w:tcPr>
          <w:p>
            <w:r>
              <w:rPr>
                <w:b/>
                <w:color w:val="0B1D33"/>
                <w:sz w:val="15"/>
              </w:rPr>
              <w:t>WÖk-Konsequenz</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Erwerbsarbeit</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Bezahlte Tätigkeit am Markt oder in Organisationen.</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Bleibt wichtig, aber nicht alleiniger Maßstab für Einkommen, Würde und Sozialabgaben.</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Maschinenleistung</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Produktivität durch KI, Robotik, Automatisierung, Plattformen und Daten.</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Muss über Automatisierungsdividende, Wirkungsfonds und Unternehmens-/Kapitalwirkung rückgekoppelt werden.</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Wirkleistung</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Positive Netto-Wirkung auf Mensch, Planet und Demokratie.</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Wird zur Grundlage von Wirkungseinkommen, Boni, Förderlogiken und Anerkennung.</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Blind-/Verlustleistung</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Aktivität, die wenig oder negative Zustandsveränderung erzeugt.</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Wird sichtbar, damit Arbeit nicht allein durch Aktivität legitimiert wird.</w:t>
            </w:r>
          </w:p>
        </w:tc>
      </w:tr>
    </w:tbl>
    <w:p>
      <w:pPr>
        <w:pStyle w:val="Heading1"/>
      </w:pPr>
      <w:r>
        <w:t>4. Wirkungseinkommen: vier Bausteine</w:t>
      </w:r>
    </w:p>
    <w:p>
      <w:r>
        <w:t>Das Wirkungseinkommen ist kein schlichtes Grundeinkommen und keine Robotersteuer. Es verbindet Sicherheit, Markteinkommen, Wirkungsbonus und Schutz. Es setzt nicht voraus, dass jede Wirkung personenbezogen vollständig erfasst wird. Es arbeitet mit Ebenen: gesellschaftliche Grunddividende, freiwillige Wirkungsnachweise, institutionelle und kommunale Wirkungsräume, Projekt- und Fondslogik.</w:t>
      </w:r>
    </w:p>
    <w:tbl>
      <w:tblPr>
        <w:tblW w:type="auto" w:w="0"/>
        <w:jc w:val="center"/>
        <w:tblLayout w:type="autofit"/>
        <w:tblLook w:firstColumn="1" w:firstRow="1" w:lastColumn="0" w:lastRow="0" w:noHBand="0" w:noVBand="1" w:val="04A0"/>
      </w:tblPr>
      <w:tblGrid>
        <w:gridCol w:w="5112"/>
        <w:gridCol w:w="5112"/>
      </w:tblGrid>
      <w:tr>
        <w:trPr>
          <w:tblHeader w:val="true"/>
        </w:trPr>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6"/>
              </w:rPr>
              <w:t>Baustein</w:t>
            </w:r>
          </w:p>
        </w:tc>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6"/>
              </w:rPr>
              <w:t>Funktion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Grunddividende</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Sichert Existenz und Systemvertrauen, damit Automatisierung nicht als Bedrohung erlebt wird.</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Markteinkommen</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Bleibt erhalten: Arbeit, Unternehmertum, Kreativität und Marktleistung werden nicht abgeschafft.</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Wirkungsbonus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Anerkennt Tätigkeiten mit positiver Netto-Wirkung, z. B. Care, Bildung, Engagement, Prävention, Innovation.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Wirkungsmalus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Belastet Einkommen, Kapitalflüsse oder Geschäftsmodelle, die Mensch, Planet oder Demokratie schwächen.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Schutzkomponente</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Verhindert Personen-Scoring, Zwang und Überwachung; bewertet primär Systeme, Institutionen und Tätigkeitsfelder.</w:t>
            </w:r>
          </w:p>
        </w:tc>
      </w:tr>
    </w:tbl>
    <w:p>
      <w:pPr>
        <w:pStyle w:val="Heading1"/>
      </w:pPr>
      <w:r>
        <w:t>5. Sozialabgaben von menschlicher Arbeitsleistung entkoppeln</w:t>
      </w:r>
    </w:p>
    <w:p>
      <w:r>
        <w:t>Ein zentrales Detailkonzept ist die schrittweise Entkopplung der Sozialabgaben von menschlicher Arbeit. Heute verteuern Arbeitgeber- und Arbeitnehmerbeiträge die Beschäftigung von Menschen, während automatisierte Wertschöpfung nur indirekt beiträgt. In der Wirkungsökonomie wird die Finanzierungsbasis breiter: Sie umfasst Lohnsumme, Maschinenwertschöpfung, Produktwirkung, Unternehmenswirkung, Kapitalwirkung und negative externe Effekte.</w:t>
      </w:r>
    </w:p>
    <w:tbl>
      <w:tblPr>
        <w:tblW w:type="auto" w:w="0"/>
        <w:jc w:val="center"/>
        <w:tblLook w:firstColumn="1" w:firstRow="1" w:lastColumn="0" w:lastRow="0" w:noHBand="0" w:noVBand="1" w:val="04A0"/>
      </w:tblPr>
      <w:tblGrid>
        <w:gridCol w:w="10224"/>
      </w:tblGrid>
      <w:tr>
        <w:tc>
          <w:tcPr>
            <w:tcW w:type="dxa" w:w="10224"/>
            <w:shd w:fill="EAF4EF"/>
            <w:tcBorders>
              <w:top w:val="single" w:sz="8" w:space="0" w:color="BFD8CD"/>
              <w:left w:val="single" w:sz="8" w:space="0" w:color="BFD8CD"/>
              <w:bottom w:val="single" w:sz="8" w:space="0" w:color="BFD8CD"/>
              <w:right w:val="single" w:sz="8" w:space="0" w:color="BFD8CD"/>
            </w:tcBorders>
          </w:tcPr>
          <w:p>
            <w:r>
              <w:rPr>
                <w:b/>
                <w:color w:val="2E7D5C"/>
                <w:sz w:val="20"/>
              </w:rPr>
              <w:t>Nicht Maschinen bestrafen, sondern Wertschöpfung rückkoppeln</w:t>
            </w:r>
          </w:p>
          <w:p>
            <w:pPr>
              <w:spacing w:before="40"/>
            </w:pPr>
            <w:r>
              <w:rPr>
                <w:sz w:val="19"/>
              </w:rPr>
              <w:t>Eine bloße Robotersteuer könnte Innovation bremsen. Der WÖk-Ansatz belastet nicht die Maschine als solche, sondern die gesellschaftliche Rückkopplung der durch Automatisierung entstehenden Wertschöpfung: Wer produktiver wird, ohne Menschen sozial einzubinden, beteiligt sich an Wirkungsfonds und sozialer Stabilisierung.</w:t>
            </w:r>
          </w:p>
        </w:tc>
      </w:tr>
    </w:tbl>
    <w:p>
      <w:pPr>
        <w:pStyle w:val="Heading1"/>
      </w:pPr>
      <w:r>
        <w:t>6. Verknüpfung mit den relevanten Steuern</w:t>
      </w:r>
    </w:p>
    <w:tbl>
      <w:tblPr>
        <w:tblW w:type="auto" w:w="0"/>
        <w:jc w:val="center"/>
        <w:tblLayout w:type="autofit"/>
        <w:tblLook w:firstColumn="1" w:firstRow="1" w:lastColumn="0" w:lastRow="0" w:noHBand="0" w:noVBand="1" w:val="04A0"/>
      </w:tblPr>
      <w:tblGrid>
        <w:gridCol w:w="5112"/>
        <w:gridCol w:w="5112"/>
      </w:tblGrid>
      <w:tr>
        <w:trPr>
          <w:tblHeader w:val="true"/>
        </w:trPr>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5"/>
              </w:rPr>
              <w:t>Steuer / Instrument</w:t>
            </w:r>
          </w:p>
        </w:tc>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5"/>
              </w:rPr>
              <w:t>Funktion im Bereich Arbeit &amp; Einkommen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WStG</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Rahmengesetz: Wirkung als steuerliche Steuerungsgröße für Arbeit, Produktion, Konsum und Kapital.</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WEstG</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Wirkungseinkommensteuer: Einkommen wird nach Höhe, Entstehungskontext und Wirkung betrachtet.</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WUStG</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Produkt- und Dienstleistungswirkung beeinflusst Preise und speist Wirkungsfonds; wichtig für Konsumwirkung und Nachfrage.</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Wirkungskörperschaftsteuer</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Unternehmensgewinne werden nach Unternehmens- und Transformationswirkung differenziert.</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Wirkungsgewerbesteuer</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Kommunale Rückkopplung: lokale Wirkung, Arbeitsplätze, Ausbildung, Standort- und Sozialraumwirkung.</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Maschinenwertschöpfungsbeitrag</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Teil der Sozialabgaben-Entkopplung: automatisierte Wertschöpfung trägt zur sozialen Sicherung bei.</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Wirkungsvermögen- und Erbschaftsteuer</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Gehören primär in Finanzsystem &amp; Kapital, verlinkt mit Arbeit/Einkommen, wenn Vermögen aus Automatisierungskapital entsteht.</w:t>
            </w:r>
          </w:p>
        </w:tc>
      </w:tr>
    </w:tbl>
    <w:p>
      <w:pPr>
        <w:pStyle w:val="Heading1"/>
      </w:pPr>
      <w:r>
        <w:t>7. Wirkungsfonds und Finanzierbarkeit</w:t>
      </w:r>
    </w:p>
    <w:p>
      <w:r>
        <w:t>Der Wirkungsfonds ist das Sammel- und Rückverteilungsinstrument. Er ist kein Nebenprojekt des Arbeitsportals, sondern ein Querschnitt zwischen Arbeit &amp; Einkommen, Rente, Gesundheit, Bildung, Wohnen und Finanzsystem &amp; Kapital. Im Portal Arbeit &amp; Einkommen werden jene Fondsanteile behandelt, die aus Automatisierung, Maschinenleistung, Wirkungseinkommensteuer, destruktiven Wirkungssteuern und Unternehmenswirkung gespeist werden.</w:t>
      </w:r>
    </w:p>
    <w:tbl>
      <w:tblPr>
        <w:tblW w:type="auto" w:w="0"/>
        <w:jc w:val="center"/>
        <w:tblLayout w:type="autofit"/>
        <w:tblLook w:firstColumn="1" w:firstRow="1" w:lastColumn="0" w:lastRow="0" w:noHBand="0" w:noVBand="1" w:val="04A0"/>
      </w:tblPr>
      <w:tblGrid>
        <w:gridCol w:w="5112"/>
        <w:gridCol w:w="5112"/>
      </w:tblGrid>
      <w:tr>
        <w:trPr>
          <w:tblHeader w:val="true"/>
        </w:trPr>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5"/>
              </w:rPr>
              <w:t>Fonds / Topf</w:t>
            </w:r>
          </w:p>
        </w:tc>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5"/>
              </w:rPr>
              <w:t>Zweck</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Wirkungsdividendenfonds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Grunddividende und Wirkungsboni für Bürger:innen.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Transformations- und Weiterbildungsfonds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Qualifizierung, Umschulung, Arbeitszeitreduktion und Übergänge.</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Care- und Gemeinwesenfonds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Anerkennung und Finanzierung von Care, Ehrenamt, Prävention und sozialer Infrastruktur.</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Automatisierungsresilienzfonds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Regionale und sektorale Stabilisierung bei Arbeitsplatzverlagerung.</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Wirkungsrentenfonds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Verknüpfung mit Rang 7: Lebensleistung und gesellschaftliche Wirkung im Alter.</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5"/>
              </w:rPr>
              <w:t>Gesundheits- und Bildungswirkungsfonds</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5"/>
              </w:rPr>
              <w:t>Verknüpfung mit Rang 8/10: Prävention und Bildung als Wirkungsinvestition.</w:t>
            </w:r>
          </w:p>
        </w:tc>
      </w:tr>
    </w:tbl>
    <w:p>
      <w:pPr>
        <w:pStyle w:val="Heading1"/>
      </w:pPr>
      <w:r>
        <w:t>8. Politische Anschlussfähigkeit und Umsetzungsoptionen</w:t>
      </w:r>
    </w:p>
    <w:p>
      <w:r>
        <w:t>Die Wirkungsökonomie legt keinen fertigen Parteibeschluss vor. Sie beschreibt einen Rahmen, in dem unterschiedliche politische Strömungen verschiedene Wege wählen können: stärker marktbasiert, stärker sozialstaatlich, stärker kommunal, stärker fondsorientiert, stärker unternehmensbezogen oder stärker bürgerzentriert. Entscheidend ist, dass Automatisierungsgewinne sichtbar, soziale Sicherung stabilisiert und positive Netto-Wirkung rückgekoppelt wird.</w:t>
      </w:r>
    </w:p>
    <w:tbl>
      <w:tblPr>
        <w:tblW w:type="auto" w:w="0"/>
        <w:jc w:val="center"/>
        <w:tblLayout w:type="autofit"/>
        <w:tblLook w:firstColumn="1" w:firstRow="1" w:lastColumn="0" w:lastRow="0" w:noHBand="0" w:noVBand="1" w:val="04A0"/>
      </w:tblPr>
      <w:tblGrid>
        <w:gridCol w:w="5112"/>
        <w:gridCol w:w="5112"/>
      </w:tblGrid>
      <w:tr>
        <w:trPr>
          <w:tblHeader w:val="true"/>
        </w:trPr>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6"/>
              </w:rPr>
              <w:t>Ebene</w:t>
            </w:r>
          </w:p>
        </w:tc>
        <w:tc>
          <w:tcPr>
            <w:tcW w:type="dxa" w:w="5112"/>
            <w:shd w:fill="F6F1E8"/>
            <w:tcBorders>
              <w:top w:val="single" w:sz="8" w:space="0" w:color="D8D3C8"/>
              <w:left w:val="single" w:sz="8" w:space="0" w:color="D8D3C8"/>
              <w:bottom w:val="single" w:sz="8" w:space="0" w:color="D8D3C8"/>
              <w:right w:val="single" w:sz="8" w:space="0" w:color="D8D3C8"/>
            </w:tcBorders>
          </w:tcPr>
          <w:p>
            <w:r>
              <w:rPr>
                <w:b/>
                <w:color w:val="0B1D33"/>
                <w:sz w:val="16"/>
              </w:rPr>
              <w:t>Aufgabe für Politik und Umsetzung</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Aufgabe der Politik</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Finanzierungsbasis sozialer Sicherung über menschliche Arbeit hinaus erweitern und Wirkungseinkommen pilotieren.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Politische Rahmenbedingungen</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WStG, WEstG, Maschinenwertschöpfungsbeitrag, Wirkungsfonds, Datenschutz, Mitbestimmung, Weiterbildung.</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Ausgestaltungsspielraum</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Tempo, Höhe der Grunddividende, Fondsquote, Steuerbasis, KMU-Schutz, Pilotregionen und Übergangsfristen.</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Zielkonflikte</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Innovation vs. Sozialbeitrag; Datenschutz vs. Wirkungsnachweis; Freiheit vs. Missbrauchsschutz; Bürokratie vs. Prüfbarkeit.</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Rollenverteilung</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EU, Bund, Länder, Kommunen, Sozialversicherungen, Unternehmen, Gewerkschaften, Wissenschaft und Zivilgesellschaft.</w:t>
            </w:r>
          </w:p>
        </w:tc>
      </w:tr>
      <w:tr>
        <w:tc>
          <w:tcPr>
            <w:tcW w:type="dxa" w:w="5112"/>
            <w:tcBorders>
              <w:top w:val="single" w:sz="8" w:space="0" w:color="D8D3C8"/>
              <w:left w:val="single" w:sz="8" w:space="0" w:color="D8D3C8"/>
              <w:bottom w:val="single" w:sz="8" w:space="0" w:color="D8D3C8"/>
              <w:right w:val="single" w:sz="8" w:space="0" w:color="D8D3C8"/>
            </w:tcBorders>
            <w:shd w:fill="FAF8F2"/>
          </w:tcPr>
          <w:p>
            <w:pPr>
              <w:spacing w:after="20"/>
            </w:pPr>
            <w:r>
              <w:rPr>
                <w:sz w:val="16"/>
              </w:rPr>
              <w:t>Schutz vor Technokratie</w:t>
            </w:r>
          </w:p>
        </w:tc>
        <w:tc>
          <w:tcPr>
            <w:tcW w:type="dxa" w:w="5112"/>
            <w:tcBorders>
              <w:top w:val="single" w:sz="8" w:space="0" w:color="D8D3C8"/>
              <w:left w:val="single" w:sz="8" w:space="0" w:color="D8D3C8"/>
              <w:bottom w:val="single" w:sz="8" w:space="0" w:color="D8D3C8"/>
              <w:right w:val="single" w:sz="8" w:space="0" w:color="D8D3C8"/>
            </w:tcBorders>
          </w:tcPr>
          <w:p>
            <w:pPr>
              <w:spacing w:after="20"/>
            </w:pPr>
            <w:r>
              <w:rPr>
                <w:sz w:val="16"/>
              </w:rPr>
              <w:t>Keine Personenbewertung; Wirkungsdaten bereiten Entscheidungen vor, ersetzen aber demokratische Legitimation nicht.</w:t>
            </w:r>
          </w:p>
        </w:tc>
      </w:tr>
    </w:tbl>
    <w:p>
      <w:pPr>
        <w:pStyle w:val="Heading1"/>
      </w:pPr>
      <w:r>
        <w:t>9. Umsetzung in Phasen</w:t>
      </w:r>
    </w:p>
    <w:tbl>
      <w:tblPr>
        <w:tblW w:type="auto" w:w="0"/>
        <w:jc w:val="center"/>
        <w:tblLayout w:type="autofit"/>
        <w:tblLook w:firstColumn="1" w:firstRow="1" w:lastColumn="0" w:lastRow="0" w:noHBand="0" w:noVBand="1" w:val="04A0"/>
      </w:tblPr>
      <w:tblGrid>
        <w:gridCol w:w="3408"/>
        <w:gridCol w:w="3408"/>
        <w:gridCol w:w="3408"/>
      </w:tblGrid>
      <w:tr>
        <w:trPr>
          <w:tblHeader w:val="true"/>
        </w:trPr>
        <w:tc>
          <w:tcPr>
            <w:tcW w:type="dxa" w:w="3408"/>
            <w:shd w:fill="F6F1E8"/>
            <w:tcBorders>
              <w:top w:val="single" w:sz="8" w:space="0" w:color="D8D3C8"/>
              <w:left w:val="single" w:sz="8" w:space="0" w:color="D8D3C8"/>
              <w:bottom w:val="single" w:sz="8" w:space="0" w:color="D8D3C8"/>
              <w:right w:val="single" w:sz="8" w:space="0" w:color="D8D3C8"/>
            </w:tcBorders>
          </w:tcPr>
          <w:p>
            <w:r>
              <w:rPr>
                <w:b/>
                <w:color w:val="0B1D33"/>
                <w:sz w:val="15"/>
              </w:rPr>
              <w:t>Phase</w:t>
            </w:r>
          </w:p>
        </w:tc>
        <w:tc>
          <w:tcPr>
            <w:tcW w:type="dxa" w:w="3408"/>
            <w:shd w:fill="F6F1E8"/>
            <w:tcBorders>
              <w:top w:val="single" w:sz="8" w:space="0" w:color="D8D3C8"/>
              <w:left w:val="single" w:sz="8" w:space="0" w:color="D8D3C8"/>
              <w:bottom w:val="single" w:sz="8" w:space="0" w:color="D8D3C8"/>
              <w:right w:val="single" w:sz="8" w:space="0" w:color="D8D3C8"/>
            </w:tcBorders>
          </w:tcPr>
          <w:p>
            <w:r>
              <w:rPr>
                <w:b/>
                <w:color w:val="0B1D33"/>
                <w:sz w:val="15"/>
              </w:rPr>
              <w:t>Zeitraum</w:t>
            </w:r>
          </w:p>
        </w:tc>
        <w:tc>
          <w:tcPr>
            <w:tcW w:type="dxa" w:w="3408"/>
            <w:shd w:fill="F6F1E8"/>
            <w:tcBorders>
              <w:top w:val="single" w:sz="8" w:space="0" w:color="D8D3C8"/>
              <w:left w:val="single" w:sz="8" w:space="0" w:color="D8D3C8"/>
              <w:bottom w:val="single" w:sz="8" w:space="0" w:color="D8D3C8"/>
              <w:right w:val="single" w:sz="8" w:space="0" w:color="D8D3C8"/>
            </w:tcBorders>
          </w:tcPr>
          <w:p>
            <w:r>
              <w:rPr>
                <w:b/>
                <w:color w:val="0B1D33"/>
                <w:sz w:val="15"/>
              </w:rPr>
              <w:t>Kern</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0</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sofort</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Datenlage prüfen, bestehende Sozialabgaben- und Steuerbasis analysieren, Pilotbranchen definieren.</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1</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1-2 Jahre</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Wirkungsfonds-Pilot, Wirkungseinkommen für begrenzte Wirkungsfelder, Automatisierungsmonitoring.</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2</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3-5 Jahre</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Maschinenwertschöpfungsbeitrag und WEstG-Testmodell; Weiterbildungs- und Care-Fonds.</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3</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5-10 Jahre</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Teilweise Entkopplung der Sozialabgaben von Lohnsumme; Grunddividende als stabilisierende Komponente.</w:t>
            </w:r>
          </w:p>
        </w:tc>
      </w:tr>
      <w:tr>
        <w:tc>
          <w:tcPr>
            <w:tcW w:type="dxa" w:w="3408"/>
            <w:tcBorders>
              <w:top w:val="single" w:sz="8" w:space="0" w:color="D8D3C8"/>
              <w:left w:val="single" w:sz="8" w:space="0" w:color="D8D3C8"/>
              <w:bottom w:val="single" w:sz="8" w:space="0" w:color="D8D3C8"/>
              <w:right w:val="single" w:sz="8" w:space="0" w:color="D8D3C8"/>
            </w:tcBorders>
            <w:shd w:fill="FAF8F2"/>
          </w:tcPr>
          <w:p>
            <w:pPr>
              <w:spacing w:after="20"/>
            </w:pPr>
            <w:r>
              <w:rPr>
                <w:sz w:val="15"/>
              </w:rPr>
              <w:t>4</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10+ Jahre</w:t>
            </w:r>
          </w:p>
        </w:tc>
        <w:tc>
          <w:tcPr>
            <w:tcW w:type="dxa" w:w="3408"/>
            <w:tcBorders>
              <w:top w:val="single" w:sz="8" w:space="0" w:color="D8D3C8"/>
              <w:left w:val="single" w:sz="8" w:space="0" w:color="D8D3C8"/>
              <w:bottom w:val="single" w:sz="8" w:space="0" w:color="D8D3C8"/>
              <w:right w:val="single" w:sz="8" w:space="0" w:color="D8D3C8"/>
            </w:tcBorders>
          </w:tcPr>
          <w:p>
            <w:pPr>
              <w:spacing w:after="20"/>
            </w:pPr>
            <w:r>
              <w:rPr>
                <w:sz w:val="15"/>
              </w:rPr>
              <w:t>Reife WÖk: Finanzierung sozialer Sicherung über Arbeit, Wirkung, Kapital und Automatisierungsdividende.</w:t>
            </w:r>
          </w:p>
        </w:tc>
      </w:tr>
    </w:tbl>
    <w:p>
      <w:pPr>
        <w:pStyle w:val="Heading1"/>
      </w:pPr>
      <w:r>
        <w:t>10. Quellen und Anschlussstellen</w:t>
      </w:r>
    </w:p>
    <w:p>
      <w:r>
        <w:t>Interne WÖk-Quellen</w:t>
      </w:r>
    </w:p>
    <w:p>
      <w:pPr>
        <w:pStyle w:val="ListBullet"/>
        <w:spacing w:after="40"/>
      </w:pPr>
      <w:r>
        <w:t>Natalie Weber: Wenn Maschinen arbeiten. Warum wir ein neues System brauchen, 2025.</w:t>
      </w:r>
    </w:p>
    <w:p>
      <w:pPr>
        <w:pStyle w:val="ListBullet"/>
        <w:spacing w:after="40"/>
      </w:pPr>
      <w:r>
        <w:t>Natalie Weber: Die neue Ordnung des Wohlstands, 2026, insbesondere Kapitel 15, 56, 57 und die Teile zu Wirkungseinkommen, Wirkungsfonds und Wirkungslenkung.</w:t>
      </w:r>
    </w:p>
    <w:p>
      <w:pPr>
        <w:pStyle w:val="ListBullet"/>
        <w:spacing w:after="40"/>
      </w:pPr>
      <w:r>
        <w:t>Natalie Weber: Arbeitspapier Wirkungseinkommensteuer (WEstG), 2025.</w:t>
      </w:r>
    </w:p>
    <w:p>
      <w:pPr>
        <w:pStyle w:val="ListBullet"/>
        <w:spacing w:after="40"/>
      </w:pPr>
      <w:r>
        <w:t>Natalie Weber: Working-Paper Rentensystem / Wirkungsrente, 2025.</w:t>
      </w:r>
    </w:p>
    <w:p>
      <w:pPr>
        <w:pStyle w:val="ListBullet"/>
        <w:spacing w:after="40"/>
      </w:pPr>
      <w:r>
        <w:t>Natalie Weber: Systemmodell der Wirkungsökonomie, 2025.</w:t>
      </w:r>
    </w:p>
    <w:p>
      <w:pPr>
        <w:pStyle w:val="ListBullet"/>
        <w:spacing w:after="40"/>
      </w:pPr>
      <w:r>
        <w:t>Natalie Weber: WStG Oktober 2025 und Technische Leitlinien WUStG, 2025.</w:t>
      </w:r>
    </w:p>
    <w:p>
      <w:pPr>
        <w:pStyle w:val="ListBullet"/>
        <w:spacing w:after="40"/>
      </w:pPr>
      <w:r>
        <w:t>Natalie Weber: Führender Begriffsleitfaden der Wirkungsökonomie, 2026.</w:t>
      </w:r>
    </w:p>
    <w:p>
      <w:r>
        <w:t>Externe Referenzen</w:t>
      </w:r>
    </w:p>
    <w:p>
      <w:pPr>
        <w:pStyle w:val="ListBullet"/>
        <w:spacing w:after="40"/>
      </w:pPr>
      <w:r>
        <w:t>OECD: AI and work / Future of work, laufende Themenseiten und Analysen.</w:t>
      </w:r>
    </w:p>
    <w:p>
      <w:pPr>
        <w:pStyle w:val="ListBullet"/>
        <w:spacing w:after="40"/>
      </w:pPr>
      <w:r>
        <w:t>ILO: Generative AI and Jobs, Working Paper 96 (2023) und Refined Global Index of Occupational Exposure (2025).</w:t>
      </w:r>
    </w:p>
    <w:p>
      <w:pPr>
        <w:pStyle w:val="ListBullet"/>
        <w:spacing w:after="40"/>
      </w:pPr>
      <w:r>
        <w:t>Europäische Kommission: AI Act, Inkrafttreten 1. August 2024 und Anwendung nach Zeitplan mit Ausnahmen.</w:t>
      </w:r>
    </w:p>
    <w:p>
      <w:pPr>
        <w:pStyle w:val="ListBullet"/>
        <w:spacing w:after="40"/>
      </w:pPr>
      <w:r>
        <w:t>EU: Platform Work Directive (EU) 2024/2831; algorithmisches Management, Transparenz und menschliche Aufsicht.</w:t>
      </w:r>
    </w:p>
    <w:p>
      <w:pPr>
        <w:pStyle w:val="ListBullet"/>
        <w:spacing w:after="40"/>
      </w:pPr>
      <w:r>
        <w:t>Destatis: Arbeitsmarkt, Erwerbstätigkeit und sozialversicherungspflichtige Beschäftigung in Deutschland.</w:t>
      </w:r>
    </w:p>
    <w:p>
      <w:pPr>
        <w:pStyle w:val="ListBullet"/>
        <w:spacing w:after="40"/>
      </w:pPr>
      <w:r>
        <w:t>IAB: Job-Futuromat und Szenarioanalysen zu KI, Digitalisierung und Substituierbarkeitspotenzialen.</w:t>
      </w:r>
    </w:p>
    <w:p>
      <w:pPr>
        <w:pStyle w:val="ListBullet"/>
        <w:spacing w:after="40"/>
      </w:pPr>
      <w:r>
        <w:t>Bundesagentur für Arbeit / BERUFENET: Digitalisierung und Ersetzbarkeit von Tätigkeiten.</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Meta"/>
      <w:jc w:val="center"/>
    </w:pPr>
    <w:r>
      <w:t>© 2026 Natalie Weber · Wirkungsökonomie · v0.1 · Konzeptfassung / Diskussionsfassung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Meta"/>
      <w:jc w:val="right"/>
    </w:pPr>
    <w:r>
      <w:t>WIRKUNGSÖKONOMIE  |  Arbeit &amp; Einkommen / Automatisierung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Source Sans 3" w:hAnsi="Source Sans 3" w:eastAsia="Source Sans 3"/>
      <w:color w:val="2E2E2E"/>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ascii="Georgia" w:hAnsi="Georgia" w:eastAsia="Georgia"/>
      <w:b/>
      <w:bCs/>
      <w:color w:val="0B1D33"/>
      <w:sz w:val="42"/>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Georgia" w:hAnsi="Georgia" w:eastAsia="Georgia"/>
      <w:b/>
      <w:bCs/>
      <w:color w:val="0B1D33"/>
      <w:sz w:val="30"/>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ascii="Source Sans 3" w:hAnsi="Source Sans 3" w:eastAsia="Source Sans 3"/>
      <w:b/>
      <w:bCs/>
      <w:color w:val="2E7D5C"/>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160"/>
      <w:contextualSpacing/>
    </w:pPr>
    <w:rPr>
      <w:rFonts w:asciiTheme="majorHAnsi" w:eastAsiaTheme="majorEastAsia" w:hAnsiTheme="majorHAnsi" w:cstheme="majorBidi" w:ascii="Georgia" w:hAnsi="Georgia" w:eastAsia="Georgia"/>
      <w:b/>
      <w:color w:val="0B1D33"/>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eta">
    <w:name w:val="Meta"/>
    <w:pPr>
      <w:spacing w:after="40"/>
    </w:pPr>
    <w:rPr>
      <w:rFonts w:ascii="Source Sans 3" w:hAnsi="Source Sans 3"/>
      <w:b/>
      <w:color w:val="2E7D5C"/>
      <w:sz w:val="17"/>
    </w:rPr>
  </w:style>
  <w:style w:type="paragraph" w:customStyle="1" w:styleId="PullQuote">
    <w:name w:val="PullQuote"/>
    <w:pPr>
      <w:spacing w:before="160" w:after="160"/>
      <w:ind w:left="288" w:right="288"/>
    </w:pPr>
    <w:rPr>
      <w:rFonts w:ascii="Georgia" w:hAnsi="Georgia"/>
      <w:i/>
      <w:color w:val="0B1D33"/>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