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Meta"/>
        <w:jc w:val="left"/>
      </w:pPr>
      <w:r>
        <w:t>WIRKUNGSÖKONOMIE</w:t>
      </w:r>
    </w:p>
    <w:p>
      <w:pPr>
        <w:pStyle w:val="Title"/>
      </w:pPr>
      <w:r>
        <w:t>Detailkonzepte Arbeit &amp; Einkommen / Automatisierung</w:t>
      </w:r>
    </w:p>
    <w:p>
      <w:pPr>
        <w:pStyle w:val="Heading2"/>
      </w:pPr>
      <w:r>
        <w:t>Ausführliche Unterbereichskonzepte für Wirkungseinkommen, Sozialabgaben, Maschinenleistung, WEstG und Wirkungsfonds</w:t>
      </w:r>
    </w:p>
    <w:p>
      <w:pPr>
        <w:pStyle w:val="PullQuote"/>
      </w:pPr>
      <w:r>
        <w:t>Wirkung statt Kapital. Für Mensch, Planet und Demokratie.</w:t>
      </w:r>
    </w:p>
    <w:tbl>
      <w:tblPr>
        <w:tblW w:type="auto" w:w="0"/>
        <w:jc w:val="left"/>
        <w:tblLayout w:type="autofit"/>
        <w:tblLook w:firstColumn="1" w:firstRow="1" w:lastColumn="0" w:lastRow="0" w:noHBand="0" w:noVBand="1" w:val="04A0"/>
      </w:tblPr>
      <w:tblGrid>
        <w:gridCol w:w="5112"/>
        <w:gridCol w:w="5112"/>
      </w:tblGrid>
      <w:tr>
        <w:tc>
          <w:tcPr>
            <w:tcW w:type="dxa" w:w="5112"/>
            <w:shd w:fill="FBF4E4"/>
            <w:tcBorders>
              <w:top w:val="single" w:sz="8" w:space="0" w:color="D8D3C8"/>
              <w:left w:val="single" w:sz="8" w:space="0" w:color="D8D3C8"/>
              <w:bottom w:val="single" w:sz="8" w:space="0" w:color="D8D3C8"/>
              <w:right w:val="single" w:sz="8" w:space="0" w:color="D8D3C8"/>
            </w:tcBorders>
            <w:vAlign w:val="center"/>
          </w:tcPr>
          <w:p>
            <w:r>
              <w:rPr>
                <w:sz w:val="17"/>
              </w:rPr>
              <w:t>Autorin</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Natalie Weber</w:t>
            </w:r>
          </w:p>
        </w:tc>
      </w:tr>
      <w:tr>
        <w:tc>
          <w:tcPr>
            <w:tcW w:type="dxa" w:w="5112"/>
            <w:shd w:fill="F6F1E8"/>
            <w:tcBorders>
              <w:top w:val="single" w:sz="8" w:space="0" w:color="D8D3C8"/>
              <w:left w:val="single" w:sz="8" w:space="0" w:color="D8D3C8"/>
              <w:bottom w:val="single" w:sz="8" w:space="0" w:color="D8D3C8"/>
              <w:right w:val="single" w:sz="8" w:space="0" w:color="D8D3C8"/>
            </w:tcBorders>
            <w:vAlign w:val="center"/>
          </w:tcPr>
          <w:p>
            <w:r>
              <w:rPr>
                <w:sz w:val="17"/>
              </w:rPr>
              <w:t>Referenz</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Wirkungsökonomie</w:t>
            </w:r>
          </w:p>
        </w:tc>
      </w:tr>
      <w:tr>
        <w:tc>
          <w:tcPr>
            <w:tcW w:type="dxa" w:w="5112"/>
            <w:shd w:fill="FBF4E4"/>
            <w:tcBorders>
              <w:top w:val="single" w:sz="8" w:space="0" w:color="D8D3C8"/>
              <w:left w:val="single" w:sz="8" w:space="0" w:color="D8D3C8"/>
              <w:bottom w:val="single" w:sz="8" w:space="0" w:color="D8D3C8"/>
              <w:right w:val="single" w:sz="8" w:space="0" w:color="D8D3C8"/>
            </w:tcBorders>
            <w:vAlign w:val="center"/>
          </w:tcPr>
          <w:p>
            <w:r>
              <w:rPr>
                <w:sz w:val="17"/>
              </w:rPr>
              <w:t>Stand</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24. Mai 2026</w:t>
            </w:r>
          </w:p>
        </w:tc>
      </w:tr>
      <w:tr>
        <w:tc>
          <w:tcPr>
            <w:tcW w:type="dxa" w:w="5112"/>
            <w:shd w:fill="F6F1E8"/>
            <w:tcBorders>
              <w:top w:val="single" w:sz="8" w:space="0" w:color="D8D3C8"/>
              <w:left w:val="single" w:sz="8" w:space="0" w:color="D8D3C8"/>
              <w:bottom w:val="single" w:sz="8" w:space="0" w:color="D8D3C8"/>
              <w:right w:val="single" w:sz="8" w:space="0" w:color="D8D3C8"/>
            </w:tcBorders>
            <w:vAlign w:val="center"/>
          </w:tcPr>
          <w:p>
            <w:r>
              <w:rPr>
                <w:sz w:val="17"/>
              </w:rPr>
              <w:t>Version</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v0.1</w:t>
            </w:r>
          </w:p>
        </w:tc>
      </w:tr>
      <w:tr>
        <w:tc>
          <w:tcPr>
            <w:tcW w:type="dxa" w:w="5112"/>
            <w:shd w:fill="FBF4E4"/>
            <w:tcBorders>
              <w:top w:val="single" w:sz="8" w:space="0" w:color="D8D3C8"/>
              <w:left w:val="single" w:sz="8" w:space="0" w:color="D8D3C8"/>
              <w:bottom w:val="single" w:sz="8" w:space="0" w:color="D8D3C8"/>
              <w:right w:val="single" w:sz="8" w:space="0" w:color="D8D3C8"/>
            </w:tcBorders>
            <w:vAlign w:val="center"/>
          </w:tcPr>
          <w:p>
            <w:r>
              <w:rPr>
                <w:sz w:val="17"/>
              </w:rPr>
              <w:t>Status</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Detailkonzepte / öffentliche Arbeitsfassung</w:t>
            </w:r>
          </w:p>
        </w:tc>
      </w:tr>
      <w:tr>
        <w:tc>
          <w:tcPr>
            <w:tcW w:type="dxa" w:w="5112"/>
            <w:shd w:fill="F6F1E8"/>
            <w:tcBorders>
              <w:top w:val="single" w:sz="8" w:space="0" w:color="D8D3C8"/>
              <w:left w:val="single" w:sz="8" w:space="0" w:color="D8D3C8"/>
              <w:bottom w:val="single" w:sz="8" w:space="0" w:color="D8D3C8"/>
              <w:right w:val="single" w:sz="8" w:space="0" w:color="D8D3C8"/>
            </w:tcBorders>
            <w:vAlign w:val="center"/>
          </w:tcPr>
          <w:p>
            <w:r>
              <w:rPr>
                <w:sz w:val="17"/>
              </w:rPr>
              <w:t>Öffentlichkeit</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Öffentliche Arbeitsfassung. Keine internen CodeX- oder Repository-Anweisungen enthalten.</w:t>
            </w:r>
          </w:p>
        </w:tc>
      </w:tr>
    </w:tbl>
    <w:p>
      <w:pPr/>
      <w:r>
        <w:t>Hinweis: Dieses Dokument beschreibt ein wirkungsökonomisches Konzept. Es ist keine Rechts-, Steuer-, Anlage- oder Sozialberatung. Rechenmodelle sind als Arbeitsannahmen gekennzeichnet.</w:t>
      </w:r>
    </w:p>
    <w:p>
      <w:r>
        <w:br w:type="page"/>
      </w:r>
    </w:p>
    <w:p>
      <w:pPr>
        <w:pStyle w:val="Heading1"/>
      </w:pPr>
      <w:r>
        <w:t>Einleitung</w:t>
      </w:r>
    </w:p>
    <w:p>
      <w:r>
        <w:t>Dieses Dokument bündelt die umfangreichen Detailkonzepte des Portals Arbeit &amp; Einkommen / Automatisierung. Es ersetzt keine Einzeldossier-Logik, sondern liefert die fachliche Grundlage, aus der Website-Unterseiten und Dossiers erzeugt werden. Die Detailkonzepte sind öffentlich lesbar und enthalten keine internen CodeX-Anweisungen.</w:t>
      </w:r>
    </w:p>
    <w:p>
      <w:pPr>
        <w:pStyle w:val="Heading1"/>
      </w:pPr>
      <w:r>
        <w:t>1. Arbeit, Einkommen und Wirkung</w:t>
      </w:r>
    </w:p>
    <w:p>
      <w:r>
        <w:t>Dieses Detailkonzept ordnet Erwerbsarbeit, Einkommen, Beschäftigung und Wirkleistung neu. Es zeigt, warum Arbeit nicht automatisch Wirkung ist und warum Einkommen nicht automatisch Leistung beweist.</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Arbeitsbegriff vom Wirkungsbegriff trennen</w:t>
      </w:r>
    </w:p>
    <w:p>
      <w:pPr>
        <w:pStyle w:val="ListBullet"/>
        <w:spacing w:after="40"/>
      </w:pPr>
      <w:r>
        <w:t>Wirkleistung, Blindleistung, Verlustleistung operationalisieren</w:t>
      </w:r>
    </w:p>
    <w:p>
      <w:pPr>
        <w:pStyle w:val="ListBullet"/>
        <w:spacing w:after="40"/>
      </w:pPr>
      <w:r>
        <w:t>Einkommen als Ergebnis einer Wirkungskette lesen</w:t>
      </w:r>
    </w:p>
    <w:p>
      <w:pPr>
        <w:pStyle w:val="ListBullet"/>
        <w:spacing w:after="40"/>
      </w:pPr>
      <w:r>
        <w:t>Berufe und Tätigkeiten nach Wirkungspotenzial differenzieren</w:t>
      </w:r>
    </w:p>
    <w:p>
      <w:pPr>
        <w:pStyle w:val="ListBullet"/>
        <w:spacing w:after="40"/>
      </w:pPr>
      <w:r>
        <w:t>Menschenwürde und soziale Sicherung nicht von Erwerbsstatus abhängig machen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2. Automatisierung und Maschinenleistung</w:t>
      </w:r>
    </w:p>
    <w:p>
      <w:r>
        <w:t>Dieses Detailkonzept beschreibt Maschinenleistung als neue ökonomische Kategorie. KI, Robotik und algorithmische Systeme erzeugen Produktivität, aber keine soziale Beitragsbasis im alten Sinn.</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Automatisierung nicht moralisch bestrafen</w:t>
      </w:r>
    </w:p>
    <w:p>
      <w:pPr>
        <w:pStyle w:val="ListBullet"/>
        <w:spacing w:after="40"/>
      </w:pPr>
      <w:r>
        <w:t>Produktivitätsgewinne gesellschaftlich rückkoppeln</w:t>
      </w:r>
    </w:p>
    <w:p>
      <w:pPr>
        <w:pStyle w:val="ListBullet"/>
        <w:spacing w:after="40"/>
      </w:pPr>
      <w:r>
        <w:t>Maschinenleistung von menschlicher Wirkleistung unterscheiden</w:t>
      </w:r>
    </w:p>
    <w:p>
      <w:pPr>
        <w:pStyle w:val="ListBullet"/>
        <w:spacing w:after="40"/>
      </w:pPr>
      <w:r>
        <w:t>Algorithmisches Management regulieren</w:t>
      </w:r>
    </w:p>
    <w:p>
      <w:pPr>
        <w:pStyle w:val="ListBullet"/>
        <w:spacing w:after="40"/>
      </w:pPr>
      <w:r>
        <w:t>Innovation mit Sozialstabilität verbinden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3. Sozialabgaben entkoppeln</w:t>
      </w:r>
    </w:p>
    <w:p>
      <w:r>
        <w:t>Dieses Detailkonzept entwickelt die schrittweise Entkopplung der Sozialabgaben von menschlicher Arbeit. Ziel ist, Beschäftigung zu entlasten und automatisierte Wertschöpfung einzubeziehen.</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Lohnnebenkosten nicht allein auf Menschenarbeit legen</w:t>
      </w:r>
    </w:p>
    <w:p>
      <w:pPr>
        <w:pStyle w:val="ListBullet"/>
        <w:spacing w:after="40"/>
      </w:pPr>
      <w:r>
        <w:t>Automatisierte Wertschöpfung als zusätzliche Beitragsbasis nutzen</w:t>
      </w:r>
    </w:p>
    <w:p>
      <w:pPr>
        <w:pStyle w:val="ListBullet"/>
        <w:spacing w:after="40"/>
      </w:pPr>
      <w:r>
        <w:t>KMU und Innovation schützen</w:t>
      </w:r>
    </w:p>
    <w:p>
      <w:pPr>
        <w:pStyle w:val="ListBullet"/>
        <w:spacing w:after="40"/>
      </w:pPr>
      <w:r>
        <w:t>Übergänge sozial abfedern</w:t>
      </w:r>
    </w:p>
    <w:p>
      <w:pPr>
        <w:pStyle w:val="ListBullet"/>
        <w:spacing w:after="40"/>
      </w:pPr>
      <w:r>
        <w:t>Renten-, Gesundheits- und Pflegefinanzierung stabilisieren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4. Wirkungseinkommen</w:t>
      </w:r>
    </w:p>
    <w:p>
      <w:r>
        <w:t>Dieses Detailkonzept beschreibt Wirkungseinkommen als Verbindung von Grunddividende, Markteinkommen, Wirkungsbonus und Transformationsschutz.</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kein reines Grundeinkommen</w:t>
      </w:r>
    </w:p>
    <w:p>
      <w:pPr>
        <w:pStyle w:val="ListBullet"/>
        <w:spacing w:after="40"/>
      </w:pPr>
      <w:r>
        <w:t>kein Arbeitszwang</w:t>
      </w:r>
    </w:p>
    <w:p>
      <w:pPr>
        <w:pStyle w:val="ListBullet"/>
        <w:spacing w:after="40"/>
      </w:pPr>
      <w:r>
        <w:t>Wirkung sichtbar, freiwillig und geschützt nachweisbar machen</w:t>
      </w:r>
    </w:p>
    <w:p>
      <w:pPr>
        <w:pStyle w:val="ListBullet"/>
        <w:spacing w:after="40"/>
      </w:pPr>
      <w:r>
        <w:t>Care, Bildung, Prävention und Gemeinwesen anerkennen</w:t>
      </w:r>
    </w:p>
    <w:p>
      <w:pPr>
        <w:pStyle w:val="ListBullet"/>
        <w:spacing w:after="40"/>
      </w:pPr>
      <w:r>
        <w:t>Personen-Scoring vermeiden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5. Wirkungseinkommensteuer WEstG</w:t>
      </w:r>
    </w:p>
    <w:p>
      <w:r>
        <w:t>Dieses Detailkonzept ordnet Einkommen nach Höhe, Entstehungskontext und Wirkung. Es verlinkt Arbeit/Einkommen mit Staat/Recht und dem WStG.</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Einkommen qualitativ einordnen</w:t>
      </w:r>
    </w:p>
    <w:p>
      <w:pPr>
        <w:pStyle w:val="ListBullet"/>
        <w:spacing w:after="40"/>
      </w:pPr>
      <w:r>
        <w:t>destruktive Einkommensquellen nicht steuerlich neutral behandeln</w:t>
      </w:r>
    </w:p>
    <w:p>
      <w:pPr>
        <w:pStyle w:val="ListBullet"/>
        <w:spacing w:after="40"/>
      </w:pPr>
      <w:r>
        <w:t>positive Wirkleistung entlasten</w:t>
      </w:r>
    </w:p>
    <w:p>
      <w:pPr>
        <w:pStyle w:val="ListBullet"/>
        <w:spacing w:after="40"/>
      </w:pPr>
      <w:r>
        <w:t>Kapital- und Arbeitseinkommen gemeinsam betrachten</w:t>
      </w:r>
    </w:p>
    <w:p>
      <w:pPr>
        <w:pStyle w:val="ListBullet"/>
        <w:spacing w:after="40"/>
      </w:pPr>
      <w:r>
        <w:t>Rechtsstaatlichkeit und Einfachheit sichern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6. Wirkungsfonds und Wirkungsdividende</w:t>
      </w:r>
    </w:p>
    <w:p>
      <w:r>
        <w:t>Dieses Detailkonzept beschreibt die Fondsarchitektur, aus der Grunddividende, Wirkungsboni, Weiterbildungsfonds und Transformationsschutz entstehen.</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Wirkungsfonds als Rückkopplungsarchitektur</w:t>
      </w:r>
    </w:p>
    <w:p>
      <w:pPr>
        <w:pStyle w:val="ListBullet"/>
        <w:spacing w:after="40"/>
      </w:pPr>
      <w:r>
        <w:t>Automatisierungsdividende</w:t>
      </w:r>
    </w:p>
    <w:p>
      <w:pPr>
        <w:pStyle w:val="ListBullet"/>
        <w:spacing w:after="40"/>
      </w:pPr>
      <w:r>
        <w:t>Wirkungsrentenfonds</w:t>
      </w:r>
    </w:p>
    <w:p>
      <w:pPr>
        <w:pStyle w:val="ListBullet"/>
        <w:spacing w:after="40"/>
      </w:pPr>
      <w:r>
        <w:t>Care- und Bildungsfonds</w:t>
      </w:r>
    </w:p>
    <w:p>
      <w:pPr>
        <w:pStyle w:val="ListBullet"/>
        <w:spacing w:after="40"/>
      </w:pPr>
      <w:r>
        <w:t>regionale Transformationsfonds</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7. Care, Bildung, Ehrenamt und Gemeinwesen</w:t>
      </w:r>
    </w:p>
    <w:p>
      <w:r>
        <w:t>Dieses Detailkonzept zeigt, wie hochwirksame Tätigkeiten sichtbar werden, ohne Menschen zu überwachen oder zu entwürdigen.</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institutionelle Nachweise statt Totaltracking</w:t>
      </w:r>
    </w:p>
    <w:p>
      <w:pPr>
        <w:pStyle w:val="ListBullet"/>
        <w:spacing w:after="40"/>
      </w:pPr>
      <w:r>
        <w:t>kommunale Wirkungsräume</w:t>
      </w:r>
    </w:p>
    <w:p>
      <w:pPr>
        <w:pStyle w:val="ListBullet"/>
        <w:spacing w:after="40"/>
      </w:pPr>
      <w:r>
        <w:t>Freiwilligkeit und Datenschutz</w:t>
      </w:r>
    </w:p>
    <w:p>
      <w:pPr>
        <w:pStyle w:val="ListBullet"/>
        <w:spacing w:after="40"/>
      </w:pPr>
      <w:r>
        <w:t>Prävention als Wirkleistung</w:t>
      </w:r>
    </w:p>
    <w:p>
      <w:pPr>
        <w:pStyle w:val="ListBullet"/>
        <w:spacing w:after="40"/>
      </w:pPr>
      <w:r>
        <w:t>gesellschaftliche Infrastruktur statt Bittstellerlogik</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8. Unternehmen, Roboter und Mitbestimmung</w:t>
      </w:r>
    </w:p>
    <w:p>
      <w:r>
        <w:t>Dieses Detailkonzept behandelt die Unternehmensperspektive: Was geschieht, wenn Menschen durch Roboter ersetzt werden, und wie entsteht eine faire Rückkopplung?</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Arbeitsplatzwirkung in Investitionsentscheidungen</w:t>
      </w:r>
    </w:p>
    <w:p>
      <w:pPr>
        <w:pStyle w:val="ListBullet"/>
        <w:spacing w:after="40"/>
      </w:pPr>
      <w:r>
        <w:t>Mitbestimmung bei Automatisierung</w:t>
      </w:r>
    </w:p>
    <w:p>
      <w:pPr>
        <w:pStyle w:val="ListBullet"/>
        <w:spacing w:after="40"/>
      </w:pPr>
      <w:r>
        <w:t>Weiterbildungs- und Zeitdividenden</w:t>
      </w:r>
    </w:p>
    <w:p>
      <w:pPr>
        <w:pStyle w:val="ListBullet"/>
        <w:spacing w:after="40"/>
      </w:pPr>
      <w:r>
        <w:t>Wirkungsbericht Automatisierung</w:t>
      </w:r>
    </w:p>
    <w:p>
      <w:pPr>
        <w:pStyle w:val="ListBullet"/>
        <w:spacing w:after="40"/>
      </w:pPr>
      <w:r>
        <w:t>Verknüpfung mit WKStG und Lieferketten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9. Übergangsarbeitsmarkt und Weiterbildung</w:t>
      </w:r>
    </w:p>
    <w:p>
      <w:r>
        <w:t>Dieses Detailkonzept beschreibt die Übergangslogik: Arbeit wird nicht verschwinden, aber sich verschieben. Weiterbildung, Arbeitszeitverkürzung und neue Tätigkeitsfelder werden zum Systeminstrument.</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lebenslanges Lernen</w:t>
      </w:r>
    </w:p>
    <w:p>
      <w:pPr>
        <w:pStyle w:val="ListBullet"/>
        <w:spacing w:after="40"/>
      </w:pPr>
      <w:r>
        <w:t>Transformationskonten</w:t>
      </w:r>
    </w:p>
    <w:p>
      <w:pPr>
        <w:pStyle w:val="ListBullet"/>
        <w:spacing w:after="40"/>
      </w:pPr>
      <w:r>
        <w:t>kommunale Übergangszentren</w:t>
      </w:r>
    </w:p>
    <w:p>
      <w:pPr>
        <w:pStyle w:val="ListBullet"/>
        <w:spacing w:after="40"/>
      </w:pPr>
      <w:r>
        <w:t>neue Wirkungberufe</w:t>
      </w:r>
    </w:p>
    <w:p>
      <w:pPr>
        <w:pStyle w:val="ListBullet"/>
        <w:spacing w:after="40"/>
      </w:pPr>
      <w:r>
        <w:t>nicht nur Jobs, sondern Wirkungspfade sichern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10. Politische Anschlussfähigkeit</w:t>
      </w:r>
    </w:p>
    <w:p>
      <w:r>
        <w:t>Dieses Detailkonzept beschreibt, wie unterschiedliche Parteien und Ebenen die Umsetzung verschieden ausgestalten können, ohne den Wirkungsrahmen zu verlassen.</w:t>
      </w:r>
    </w:p>
    <w:p>
      <w:pPr>
        <w:pStyle w:val="Heading2"/>
      </w:pPr>
      <w:r>
        <w:t>1. Ausgangslage</w:t>
      </w:r>
    </w:p>
    <w:p>
      <w:r>
        <w:t>Die Ausgangslage ist ein Steuerungsmodell, das Beschäftigung, Einkommen, soziale Sicherung und Status an Erwerbsarbeit bindet. Diese Bindung war in einer arbeitszentrierten Industrieökonomie funktional, wird aber durch Automatisierung, KI, Robotik, Plattformen und Datenökonomie strukturell fragil. Die Wirkungsökonomie betrachtet dieses Problem nicht als einzelnes Arbeitsmarktproblem, sondern als Rückkopplungsbruch zwischen Wertschöpfung und sozialer Stabilität.</w:t>
      </w:r>
    </w:p>
    <w:p>
      <w:pPr>
        <w:pStyle w:val="Heading2"/>
      </w:pPr>
      <w:r>
        <w:t>2. Wirkungsökonomischer Perspektivwechsel</w:t>
      </w:r>
    </w:p>
    <w:p>
      <w:r>
        <w:t>Der Perspektivwechsel besteht darin, Aktivität, Beschäftigung, Einkommen und Leistung nicht mehr gleichzusetzen. Entscheidend ist die reale Zustandsveränderung für Mensch, Planet und Demokratie. Der jeweilige Unterbereich fragt deshalb: Welche Wirkung entsteht? Wer trägt sie? Wer profitiert? Wer wird belastet? Welche Rückkopplung fehlt?</w:t>
      </w:r>
    </w:p>
    <w:p>
      <w:pPr>
        <w:pStyle w:val="Heading2"/>
      </w:pPr>
      <w:r>
        <w:t>3. Kernbausteine</w:t>
      </w:r>
    </w:p>
    <w:p>
      <w:pPr>
        <w:pStyle w:val="ListBullet"/>
        <w:spacing w:after="40"/>
      </w:pPr>
      <w:r>
        <w:t>demokratische Ausgestaltung offen halten</w:t>
      </w:r>
    </w:p>
    <w:p>
      <w:pPr>
        <w:pStyle w:val="ListBullet"/>
        <w:spacing w:after="40"/>
      </w:pPr>
      <w:r>
        <w:t>keine technokratische Entscheidungssimulation</w:t>
      </w:r>
    </w:p>
    <w:p>
      <w:pPr>
        <w:pStyle w:val="ListBullet"/>
        <w:spacing w:after="40"/>
      </w:pPr>
      <w:r>
        <w:t>soziale Sicherheit, Innovation und Freiheit ausbalancieren</w:t>
      </w:r>
    </w:p>
    <w:p>
      <w:pPr>
        <w:pStyle w:val="ListBullet"/>
        <w:spacing w:after="40"/>
      </w:pPr>
      <w:r>
        <w:t>Evaluations- und Korrekturzyklen</w:t>
      </w:r>
    </w:p>
    <w:p>
      <w:pPr>
        <w:pStyle w:val="ListBullet"/>
        <w:spacing w:after="40"/>
      </w:pPr>
      <w:r>
        <w:t>EU-, Bundes-, Länder- und Kommunalrollen</w:t>
      </w:r>
    </w:p>
    <w:p>
      <w:pPr>
        <w:pStyle w:val="Heading2"/>
      </w:pPr>
      <w:r>
        <w:t>4. Abgrenzungen und Schutzlinien</w:t>
      </w:r>
    </w:p>
    <w:p>
      <w:r>
        <w:t>Keine Personenbewertung, kein Social-Credit-System, keine staatliche Sinnkontrolle. Wirkung wird über Tätigkeitsfelder, Organisationen, Projekte, Produkte, Fondsflüsse und Systemindikatoren sichtbar. Wo individuelle Beiträge berücksichtigt werden, geschieht dies freiwillig, datensparsam und rechtsschutzfähig.</w:t>
      </w:r>
    </w:p>
    <w:p>
      <w:pPr>
        <w:pStyle w:val="Heading2"/>
      </w:pPr>
      <w:r>
        <w:t>5. Daten, Messung und Werkzeuge</w:t>
      </w:r>
    </w:p>
    <w:p>
      <w:r>
        <w:t>Relevante Datenquellen sind Arbeitsmarktstatistik, Unternehmensdaten, Sozialversicherungsdaten, CSRD/ESRS, WÖk-IDs, Scorecards, IAB-/OECD-/ILO-Indikatoren und kommunale Wirkungsdaten. Die Werkzeuglogik umfasst Automatisierungsmonitor, Wirkungseinkommensrechner, Sozialabgaben-Entkopplungsrechner, WEstG-Logik, Wirkungsfondsrechner und Transformationskonten.</w:t>
      </w:r>
    </w:p>
    <w:p>
      <w:pPr>
        <w:pStyle w:val="Heading2"/>
      </w:pPr>
      <w:r>
        <w:t>6. Politische Umsetzungsoptionen</w:t>
      </w:r>
    </w:p>
    <w:p>
      <w:r>
        <w:t>Politisch kann der Unterbereich marktorientiert, sozialstaatlich, kommunal, fondsorientiert oder unternehmensbezogen ausgestaltet werden. Der gemeinsame Mindeststandard ist Sichtbarkeit, Prüfbarkeit, Grundrechtsschutz, demokratische Entscheidung und Korrekturfähigkeit.</w:t>
      </w:r>
    </w:p>
    <w:p>
      <w:pPr>
        <w:pStyle w:val="Heading2"/>
      </w:pPr>
      <w:r>
        <w:t>7. Verlinkungen im WÖk-System</w:t>
      </w:r>
    </w:p>
    <w:p>
      <w:pPr>
        <w:pStyle w:val="ListBullet"/>
        <w:spacing w:after="40"/>
      </w:pPr>
      <w:r>
        <w:t>Rang 3 Staat, Recht &amp; Demokratie: WStG, WEstG, Wirkungshaushalt und Wirkungsrat.</w:t>
      </w:r>
    </w:p>
    <w:p>
      <w:pPr>
        <w:pStyle w:val="ListBullet"/>
        <w:spacing w:after="40"/>
      </w:pPr>
      <w:r>
        <w:t>Rang 4 Wirtschaft &amp; Unternehmen: Automatisierung, Governance, Mitbestimmung, WKStG, Finanzmarktanforderungen.</w:t>
      </w:r>
    </w:p>
    <w:p>
      <w:pPr>
        <w:pStyle w:val="ListBullet"/>
        <w:spacing w:after="40"/>
      </w:pPr>
      <w:r>
        <w:t>Rang 7 Rente: Wirkungsrente und Lebensleistung.</w:t>
      </w:r>
    </w:p>
    <w:p>
      <w:pPr>
        <w:pStyle w:val="ListBullet"/>
        <w:spacing w:after="40"/>
      </w:pPr>
      <w:r>
        <w:t>Rang 12 Finanzsystem &amp; Kapital: Wirkungsfonds, Wirkungsdividende, Vermögen- und Erbschaftsteuer.</w:t>
      </w:r>
    </w:p>
    <w:p>
      <w:pPr>
        <w:pStyle w:val="ListBullet"/>
        <w:spacing w:after="40"/>
      </w:pPr>
      <w:r>
        <w:t>Werkzeuge: T-SROI, NWI, WÖk-IDs, Scorecards, Reverse Merit Order, Wirkungsdatenräume.</w:t>
      </w:r>
    </w:p>
    <w:p>
      <w:pPr>
        <w:pStyle w:val="Heading2"/>
      </w:pPr>
      <w:r>
        <w:t>8. Online-Darstellung</w:t>
      </w:r>
    </w:p>
    <w:p>
      <w:r>
        <w:t>Auf der Website soll jeder Unterbereich als eigene Online-Seite mit Inhaltsverzeichnis, Dossier, Toolbezug, SDG-/SDG+-Block, Buchankern, politischen Optionen, Download und Druckfunktion erscheinen.</w:t>
      </w:r>
    </w:p>
    <w:p>
      <w:pPr>
        <w:pStyle w:val="Heading1"/>
      </w:pPr>
      <w:r>
        <w:t>Quellen</w:t>
      </w:r>
    </w:p>
    <w:p>
      <w:pPr>
        <w:pStyle w:val="ListBullet"/>
        <w:spacing w:after="40"/>
      </w:pPr>
      <w:r>
        <w:t>Natalie Weber: Wenn Maschinen arbeiten. Warum wir ein neues System brauchen, 2025.</w:t>
      </w:r>
    </w:p>
    <w:p>
      <w:pPr>
        <w:pStyle w:val="ListBullet"/>
        <w:spacing w:after="40"/>
      </w:pPr>
      <w:r>
        <w:t>Natalie Weber: Die neue Ordnung des Wohlstands, 2026, insbesondere Kapitel 15, 56, 57 und die Teile zu Wirkungseinkommen, Wirkungsfonds und Wirkungslenkung.</w:t>
      </w:r>
    </w:p>
    <w:p>
      <w:pPr>
        <w:pStyle w:val="ListBullet"/>
        <w:spacing w:after="40"/>
      </w:pPr>
      <w:r>
        <w:t>Natalie Weber: Arbeitspapier Wirkungseinkommensteuer (WEstG), 2025.</w:t>
      </w:r>
    </w:p>
    <w:p>
      <w:pPr>
        <w:pStyle w:val="ListBullet"/>
        <w:spacing w:after="40"/>
      </w:pPr>
      <w:r>
        <w:t>Natalie Weber: Working-Paper Rentensystem / Wirkungsrente, 2025.</w:t>
      </w:r>
    </w:p>
    <w:p>
      <w:pPr>
        <w:pStyle w:val="ListBullet"/>
        <w:spacing w:after="40"/>
      </w:pPr>
      <w:r>
        <w:t>Natalie Weber: Systemmodell der Wirkungsökonomie, 2025.</w:t>
      </w:r>
    </w:p>
    <w:p>
      <w:pPr>
        <w:pStyle w:val="ListBullet"/>
        <w:spacing w:after="40"/>
      </w:pPr>
      <w:r>
        <w:t>Natalie Weber: WStG Oktober 2025 und Technische Leitlinien WUStG, 2025.</w:t>
      </w:r>
    </w:p>
    <w:p>
      <w:pPr>
        <w:pStyle w:val="ListBullet"/>
        <w:spacing w:after="40"/>
      </w:pPr>
      <w:r>
        <w:t>Natalie Weber: Führender Begriffsleitfaden der Wirkungsökonomie, 2026.</w:t>
      </w:r>
    </w:p>
    <w:p>
      <w:pPr>
        <w:pStyle w:val="ListBullet"/>
        <w:spacing w:after="40"/>
      </w:pPr>
      <w:r>
        <w:t>OECD: AI and work / Future of work, laufende Themenseiten und Analysen.</w:t>
      </w:r>
    </w:p>
    <w:p>
      <w:pPr>
        <w:pStyle w:val="ListBullet"/>
        <w:spacing w:after="40"/>
      </w:pPr>
      <w:r>
        <w:t>ILO: Generative AI and Jobs, Working Paper 96 (2023) und Refined Global Index of Occupational Exposure (2025).</w:t>
      </w:r>
    </w:p>
    <w:p>
      <w:pPr>
        <w:pStyle w:val="ListBullet"/>
        <w:spacing w:after="40"/>
      </w:pPr>
      <w:r>
        <w:t>Europäische Kommission: AI Act, Inkrafttreten 1. August 2024 und Anwendung nach Zeitplan mit Ausnahmen.</w:t>
      </w:r>
    </w:p>
    <w:p>
      <w:pPr>
        <w:pStyle w:val="ListBullet"/>
        <w:spacing w:after="40"/>
      </w:pPr>
      <w:r>
        <w:t>EU: Platform Work Directive (EU) 2024/2831; algorithmisches Management, Transparenz und menschliche Aufsicht.</w:t>
      </w:r>
    </w:p>
    <w:p>
      <w:pPr>
        <w:pStyle w:val="ListBullet"/>
        <w:spacing w:after="40"/>
      </w:pPr>
      <w:r>
        <w:t>Destatis: Arbeitsmarkt, Erwerbstätigkeit und sozialversicherungspflichtige Beschäftigung in Deutschland.</w:t>
      </w:r>
    </w:p>
    <w:p>
      <w:pPr>
        <w:pStyle w:val="ListBullet"/>
        <w:spacing w:after="40"/>
      </w:pPr>
      <w:r>
        <w:t>IAB: Job-Futuromat und Szenarioanalysen zu KI, Digitalisierung und Substituierbarkeitspotenzialen.</w:t>
      </w:r>
    </w:p>
    <w:p>
      <w:pPr>
        <w:pStyle w:val="ListBullet"/>
        <w:spacing w:after="40"/>
      </w:pPr>
      <w:r>
        <w:t>Bundesagentur für Arbeit / BERUFENET: Digitalisierung und Ersetzbarkeit von Tätigkeiten.</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Meta"/>
      <w:jc w:val="center"/>
    </w:pPr>
    <w:r>
      <w:t>© 2026 Natalie Weber · Wirkungsökonomie · v0.1 · Detailkonzepte / öffentliche Arbeitsfassung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Meta"/>
      <w:jc w:val="right"/>
    </w:pPr>
    <w:r>
      <w:t>WIRKUNGSÖKONOMIE  |  Arbeit &amp; Einkommen / Automatisierung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Source Sans 3" w:hAnsi="Source Sans 3" w:eastAsia="Source Sans 3"/>
      <w:color w:val="2E2E2E"/>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ascii="Georgia" w:hAnsi="Georgia" w:eastAsia="Georgia"/>
      <w:b/>
      <w:bCs/>
      <w:color w:val="0B1D33"/>
      <w:sz w:val="42"/>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Georgia" w:hAnsi="Georgia" w:eastAsia="Georgia"/>
      <w:b/>
      <w:bCs/>
      <w:color w:val="0B1D33"/>
      <w:sz w:val="30"/>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ascii="Source Sans 3" w:hAnsi="Source Sans 3" w:eastAsia="Source Sans 3"/>
      <w:b/>
      <w:bCs/>
      <w:color w:val="2E7D5C"/>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160"/>
      <w:contextualSpacing/>
    </w:pPr>
    <w:rPr>
      <w:rFonts w:asciiTheme="majorHAnsi" w:eastAsiaTheme="majorEastAsia" w:hAnsiTheme="majorHAnsi" w:cstheme="majorBidi" w:ascii="Georgia" w:hAnsi="Georgia" w:eastAsia="Georgia"/>
      <w:b/>
      <w:color w:val="0B1D33"/>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eta">
    <w:name w:val="Meta"/>
    <w:pPr>
      <w:spacing w:after="40"/>
    </w:pPr>
    <w:rPr>
      <w:rFonts w:ascii="Source Sans 3" w:hAnsi="Source Sans 3"/>
      <w:b/>
      <w:color w:val="2E7D5C"/>
      <w:sz w:val="17"/>
    </w:rPr>
  </w:style>
  <w:style w:type="paragraph" w:customStyle="1" w:styleId="PullQuote">
    <w:name w:val="PullQuote"/>
    <w:pPr>
      <w:spacing w:before="160" w:after="160"/>
      <w:ind w:left="288" w:right="288"/>
    </w:pPr>
    <w:rPr>
      <w:rFonts w:ascii="Georgia" w:hAnsi="Georgia"/>
      <w:i/>
      <w:color w:val="0B1D33"/>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